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D1A" w:rsidRDefault="00DB2D1A" w:rsidP="00DB2D1A">
      <w:pPr>
        <w:rPr>
          <w:color w:val="000000"/>
        </w:rPr>
      </w:pPr>
    </w:p>
    <w:tbl>
      <w:tblPr>
        <w:tblW w:w="9750" w:type="dxa"/>
        <w:tblCellSpacing w:w="0" w:type="dxa"/>
        <w:tblBorders>
          <w:top w:val="outset" w:sz="8" w:space="0" w:color="808080"/>
          <w:left w:val="outset" w:sz="8" w:space="0" w:color="808080"/>
          <w:bottom w:val="outset" w:sz="8" w:space="0" w:color="808080"/>
          <w:right w:val="outset" w:sz="8" w:space="0" w:color="808080"/>
        </w:tblBorders>
        <w:shd w:val="clear" w:color="auto" w:fill="FFFFFF"/>
        <w:tblCellMar>
          <w:left w:w="0" w:type="dxa"/>
          <w:right w:w="0" w:type="dxa"/>
        </w:tblCellMar>
        <w:tblLook w:val="04A0" w:firstRow="1" w:lastRow="0" w:firstColumn="1" w:lastColumn="0" w:noHBand="0" w:noVBand="1"/>
      </w:tblPr>
      <w:tblGrid>
        <w:gridCol w:w="9750"/>
      </w:tblGrid>
      <w:tr w:rsidR="00DB2D1A" w:rsidTr="00DB2D1A">
        <w:trPr>
          <w:tblCellSpacing w:w="0" w:type="dxa"/>
        </w:trPr>
        <w:tc>
          <w:tcPr>
            <w:tcW w:w="0" w:type="auto"/>
            <w:tcBorders>
              <w:top w:val="outset" w:sz="8" w:space="0" w:color="808080"/>
              <w:left w:val="outset" w:sz="8" w:space="0" w:color="808080"/>
              <w:bottom w:val="outset" w:sz="8" w:space="0" w:color="808080"/>
              <w:right w:val="outset" w:sz="8" w:space="0" w:color="808080"/>
            </w:tcBorders>
            <w:shd w:val="clear" w:color="auto" w:fill="FFFFFF"/>
            <w:tcMar>
              <w:top w:w="75" w:type="dxa"/>
              <w:left w:w="75" w:type="dxa"/>
              <w:bottom w:w="75" w:type="dxa"/>
              <w:right w:w="75"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028"/>
              <w:gridCol w:w="1581"/>
              <w:gridCol w:w="3951"/>
            </w:tblGrid>
            <w:tr w:rsidR="00DB2D1A">
              <w:trPr>
                <w:tblCellSpacing w:w="0" w:type="dxa"/>
                <w:jc w:val="center"/>
              </w:trPr>
              <w:tc>
                <w:tcPr>
                  <w:tcW w:w="2625" w:type="dxa"/>
                  <w:hideMark/>
                </w:tcPr>
                <w:p w:rsidR="00DB2D1A" w:rsidRDefault="00DB2D1A">
                  <w:pPr>
                    <w:rPr>
                      <w:color w:val="000000"/>
                    </w:rPr>
                  </w:pPr>
                </w:p>
              </w:tc>
              <w:tc>
                <w:tcPr>
                  <w:tcW w:w="0" w:type="auto"/>
                  <w:vAlign w:val="center"/>
                  <w:hideMark/>
                </w:tcPr>
                <w:p w:rsidR="00DB2D1A" w:rsidRDefault="00DB2D1A">
                  <w:pPr>
                    <w:spacing w:after="240"/>
                    <w:jc w:val="center"/>
                  </w:pPr>
                  <w:r>
                    <w:rPr>
                      <w:noProof/>
                    </w:rPr>
                    <w:drawing>
                      <wp:inline distT="0" distB="0" distL="0" distR="0">
                        <wp:extent cx="304800" cy="304800"/>
                        <wp:effectExtent l="0" t="0" r="0" b="0"/>
                        <wp:docPr id="1" name="Picture 1" descr="https://agency.governmentjobs.com/images/AgencyImages/st.%20louis%20county%20missou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cy.governmentjobs.com/images/AgencyImages/st.%20louis%20county%20missouri.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Verdana" w:hAnsi="Verdana"/>
                      <w:color w:val="000000"/>
                      <w:sz w:val="20"/>
                      <w:szCs w:val="20"/>
                    </w:rPr>
                    <w:br/>
                    <w:t>Division of Personnel</w:t>
                  </w:r>
                </w:p>
              </w:tc>
              <w:tc>
                <w:tcPr>
                  <w:tcW w:w="2625" w:type="dxa"/>
                  <w:hideMark/>
                </w:tcPr>
                <w:p w:rsidR="00DB2D1A" w:rsidRDefault="00DB2D1A">
                  <w:r>
                    <w:rPr>
                      <w:rFonts w:ascii="Verdana" w:hAnsi="Verdana"/>
                      <w:color w:val="000000"/>
                      <w:sz w:val="20"/>
                      <w:szCs w:val="20"/>
                    </w:rPr>
                    <w:t> </w:t>
                  </w:r>
                </w:p>
              </w:tc>
            </w:tr>
            <w:tr w:rsidR="00DB2D1A">
              <w:trPr>
                <w:tblCellSpacing w:w="0" w:type="dxa"/>
                <w:jc w:val="center"/>
              </w:trPr>
              <w:tc>
                <w:tcPr>
                  <w:tcW w:w="0" w:type="auto"/>
                  <w:gridSpan w:val="3"/>
                  <w:vAlign w:val="center"/>
                  <w:hideMark/>
                </w:tcPr>
                <w:p w:rsidR="00DB2D1A" w:rsidRDefault="00DB2D1A">
                  <w:pPr>
                    <w:jc w:val="center"/>
                  </w:pPr>
                  <w:r>
                    <w:rPr>
                      <w:rFonts w:ascii="Verdana" w:hAnsi="Verdana"/>
                      <w:b/>
                      <w:bCs/>
                      <w:i/>
                      <w:iCs/>
                      <w:color w:val="000000"/>
                      <w:sz w:val="15"/>
                      <w:szCs w:val="15"/>
                    </w:rPr>
                    <w:t>INVITES APPLICATIONS FOR THE POSITION OF:</w:t>
                  </w:r>
                </w:p>
              </w:tc>
            </w:tr>
            <w:tr w:rsidR="00DB2D1A">
              <w:trPr>
                <w:tblCellSpacing w:w="0" w:type="dxa"/>
                <w:jc w:val="center"/>
              </w:trPr>
              <w:tc>
                <w:tcPr>
                  <w:tcW w:w="0" w:type="auto"/>
                  <w:gridSpan w:val="3"/>
                  <w:vAlign w:val="center"/>
                  <w:hideMark/>
                </w:tcPr>
                <w:p w:rsidR="00DB2D1A" w:rsidRDefault="00DB2D1A">
                  <w:pPr>
                    <w:jc w:val="center"/>
                  </w:pPr>
                  <w:r>
                    <w:rPr>
                      <w:rFonts w:ascii="Verdana" w:hAnsi="Verdana"/>
                      <w:b/>
                      <w:bCs/>
                      <w:color w:val="000000"/>
                      <w:sz w:val="27"/>
                      <w:szCs w:val="27"/>
                    </w:rPr>
                    <w:t>ADMINISTRATIVE DIRECTOR - OFFICE OF THE MEDICAL EXAMINER (PUBLIC HEALTH ADMINISTRATOR)</w:t>
                  </w:r>
                </w:p>
              </w:tc>
            </w:tr>
          </w:tbl>
          <w:p w:rsidR="00DB2D1A" w:rsidRDefault="00DB2D1A">
            <w:pPr>
              <w:jc w:val="center"/>
            </w:pPr>
            <w:r>
              <w:rPr>
                <w:rFonts w:ascii="Verdana" w:hAnsi="Verdana"/>
                <w:color w:val="000000"/>
                <w:sz w:val="20"/>
                <w:szCs w:val="20"/>
              </w:rPr>
              <w:br/>
            </w:r>
            <w:r>
              <w:rPr>
                <w:rFonts w:ascii="Verdana" w:hAnsi="Verdana"/>
                <w:i/>
                <w:iCs/>
                <w:color w:val="000000"/>
                <w:sz w:val="20"/>
                <w:szCs w:val="20"/>
              </w:rPr>
              <w:t>An Equal Opportunity Employer</w:t>
            </w:r>
          </w:p>
        </w:tc>
      </w:tr>
      <w:tr w:rsidR="00DB2D1A" w:rsidTr="00DB2D1A">
        <w:trPr>
          <w:tblCellSpacing w:w="0" w:type="dxa"/>
        </w:trPr>
        <w:tc>
          <w:tcPr>
            <w:tcW w:w="0" w:type="auto"/>
            <w:tcBorders>
              <w:top w:val="outset" w:sz="8" w:space="0" w:color="808080"/>
              <w:left w:val="outset" w:sz="8" w:space="0" w:color="808080"/>
              <w:bottom w:val="outset" w:sz="8" w:space="0" w:color="808080"/>
              <w:right w:val="outset" w:sz="8" w:space="0" w:color="808080"/>
            </w:tcBorders>
            <w:shd w:val="clear" w:color="auto" w:fill="FFFFFF"/>
            <w:tcMar>
              <w:top w:w="75" w:type="dxa"/>
              <w:left w:w="75" w:type="dxa"/>
              <w:bottom w:w="75" w:type="dxa"/>
              <w:right w:w="75" w:type="dxa"/>
            </w:tcMar>
            <w:vAlign w:val="center"/>
          </w:tcPr>
          <w:tbl>
            <w:tblPr>
              <w:tblW w:w="5000" w:type="pct"/>
              <w:tblCellSpacing w:w="15" w:type="dxa"/>
              <w:tblCellMar>
                <w:left w:w="0" w:type="dxa"/>
                <w:right w:w="0" w:type="dxa"/>
              </w:tblCellMar>
              <w:tblLook w:val="04A0" w:firstRow="1" w:lastRow="0" w:firstColumn="1" w:lastColumn="0" w:noHBand="0" w:noVBand="1"/>
            </w:tblPr>
            <w:tblGrid>
              <w:gridCol w:w="9560"/>
            </w:tblGrid>
            <w:tr w:rsidR="00DB2D1A">
              <w:trPr>
                <w:tblCellSpacing w:w="15" w:type="dxa"/>
              </w:trPr>
              <w:tc>
                <w:tcPr>
                  <w:tcW w:w="0" w:type="auto"/>
                  <w:tcMar>
                    <w:top w:w="15" w:type="dxa"/>
                    <w:left w:w="15" w:type="dxa"/>
                    <w:bottom w:w="15" w:type="dxa"/>
                    <w:right w:w="15" w:type="dxa"/>
                  </w:tcMar>
                  <w:vAlign w:val="center"/>
                  <w:hideMark/>
                </w:tcPr>
                <w:p w:rsidR="00DB2D1A" w:rsidRDefault="00DB2D1A">
                  <w:pPr>
                    <w:rPr>
                      <w:rFonts w:ascii="Verdana" w:hAnsi="Verdana"/>
                      <w:color w:val="000000"/>
                      <w:sz w:val="20"/>
                      <w:szCs w:val="20"/>
                    </w:rPr>
                  </w:pPr>
                  <w:r>
                    <w:rPr>
                      <w:rFonts w:ascii="Verdana" w:hAnsi="Verdana"/>
                      <w:b/>
                      <w:bCs/>
                      <w:color w:val="000000"/>
                      <w:sz w:val="20"/>
                      <w:szCs w:val="20"/>
                      <w:u w:val="single"/>
                    </w:rPr>
                    <w:t>SALARY INFORMATION:</w:t>
                  </w:r>
                  <w:r>
                    <w:rPr>
                      <w:rFonts w:ascii="Verdana" w:hAnsi="Verdana"/>
                      <w:color w:val="000000"/>
                      <w:sz w:val="20"/>
                      <w:szCs w:val="20"/>
                    </w:rPr>
                    <w:br/>
                    <w:t>See Position Description</w:t>
                  </w:r>
                </w:p>
                <w:p w:rsidR="00675541" w:rsidRDefault="00675541"/>
              </w:tc>
            </w:tr>
          </w:tbl>
          <w:p w:rsidR="00DB2D1A" w:rsidRDefault="00DB2D1A">
            <w:pPr>
              <w:pStyle w:val="NormalWeb"/>
              <w:jc w:val="both"/>
            </w:pPr>
            <w:r>
              <w:rPr>
                <w:rFonts w:ascii="Verdana" w:hAnsi="Verdana"/>
                <w:b/>
                <w:bCs/>
                <w:color w:val="000000"/>
                <w:sz w:val="20"/>
                <w:szCs w:val="20"/>
                <w:u w:val="single"/>
              </w:rPr>
              <w:t>OPENING DATE:</w:t>
            </w:r>
            <w:r>
              <w:rPr>
                <w:rFonts w:ascii="Verdana" w:hAnsi="Verdana"/>
                <w:color w:val="000000"/>
                <w:sz w:val="20"/>
                <w:szCs w:val="20"/>
              </w:rPr>
              <w:t> 04/30/21</w:t>
            </w:r>
          </w:p>
          <w:p w:rsidR="00DB2D1A" w:rsidRDefault="00DB2D1A">
            <w:pPr>
              <w:pStyle w:val="NormalWeb"/>
              <w:jc w:val="both"/>
              <w:rPr>
                <w:rFonts w:ascii="Verdana" w:hAnsi="Verdana"/>
                <w:color w:val="000000"/>
                <w:sz w:val="20"/>
                <w:szCs w:val="20"/>
              </w:rPr>
            </w:pPr>
            <w:r>
              <w:rPr>
                <w:rFonts w:ascii="Verdana" w:hAnsi="Verdana"/>
                <w:b/>
                <w:bCs/>
                <w:color w:val="000000"/>
                <w:sz w:val="20"/>
                <w:szCs w:val="20"/>
                <w:u w:val="single"/>
              </w:rPr>
              <w:t>CLOSING DATE:</w:t>
            </w:r>
            <w:r>
              <w:rPr>
                <w:rFonts w:ascii="Verdana" w:hAnsi="Verdana"/>
                <w:color w:val="000000"/>
                <w:sz w:val="20"/>
                <w:szCs w:val="20"/>
              </w:rPr>
              <w:t> 05/16</w:t>
            </w:r>
            <w:r>
              <w:rPr>
                <w:rFonts w:ascii="Verdana" w:hAnsi="Verdana"/>
                <w:color w:val="000000"/>
                <w:sz w:val="20"/>
                <w:szCs w:val="20"/>
              </w:rPr>
              <w:t>/21 11:59 PM</w:t>
            </w:r>
          </w:p>
          <w:p w:rsidR="00675541" w:rsidRDefault="00675541">
            <w:pPr>
              <w:pStyle w:val="NormalWeb"/>
              <w:jc w:val="both"/>
            </w:pPr>
          </w:p>
          <w:p w:rsidR="00DB2D1A" w:rsidRDefault="00DB2D1A">
            <w:pPr>
              <w:pStyle w:val="NormalWeb"/>
              <w:jc w:val="both"/>
            </w:pPr>
            <w:r>
              <w:rPr>
                <w:rFonts w:ascii="Verdana" w:hAnsi="Verdana"/>
                <w:b/>
                <w:bCs/>
                <w:color w:val="000000"/>
                <w:sz w:val="20"/>
                <w:szCs w:val="20"/>
                <w:u w:val="single"/>
              </w:rPr>
              <w:t>DESCRIPTION:</w:t>
            </w:r>
          </w:p>
          <w:p w:rsidR="00DB2D1A" w:rsidRDefault="00DB2D1A">
            <w:pPr>
              <w:rPr>
                <w:rFonts w:ascii="Helvetica" w:hAnsi="Helvetica"/>
                <w:color w:val="000000"/>
                <w:sz w:val="21"/>
                <w:szCs w:val="21"/>
              </w:rPr>
            </w:pPr>
            <w:r>
              <w:rPr>
                <w:rFonts w:ascii="Helvetica" w:hAnsi="Helvetica"/>
                <w:color w:val="000000"/>
                <w:sz w:val="21"/>
                <w:szCs w:val="21"/>
              </w:rPr>
              <w:t>This position will be responsible for developing and maintaining administrative functions for St. Louis County’s Office of the Medical Examiner. The typical starting salary range is between $75,795.20-$90,958.40 annually depending on the candidate's qualifications and experience as well as budgetary considerations.</w:t>
            </w:r>
          </w:p>
          <w:p w:rsidR="00675541" w:rsidRDefault="00675541"/>
          <w:p w:rsidR="00DB2D1A" w:rsidRDefault="00DB2D1A">
            <w:pPr>
              <w:pStyle w:val="NormalWeb"/>
              <w:jc w:val="both"/>
            </w:pPr>
            <w:r>
              <w:rPr>
                <w:rFonts w:ascii="Verdana" w:hAnsi="Verdana"/>
                <w:b/>
                <w:bCs/>
                <w:color w:val="000000"/>
                <w:sz w:val="20"/>
                <w:szCs w:val="20"/>
                <w:u w:val="single"/>
              </w:rPr>
              <w:t>EXAMPLES OF DUTIES</w:t>
            </w:r>
          </w:p>
          <w:p w:rsidR="00DB2D1A" w:rsidRDefault="00DB2D1A">
            <w:r>
              <w:rPr>
                <w:rFonts w:ascii="Helvetica" w:hAnsi="Helvetica"/>
                <w:color w:val="000000"/>
                <w:sz w:val="21"/>
                <w:szCs w:val="21"/>
              </w:rPr>
              <w:t>Work with the Chief Medical Examiner to develop a strategic vision for the Office of the Medical Examiner that includes improving staffing, physical resources, and a long-term action plan for a variety of workplace improvements and sustainability.</w:t>
            </w:r>
          </w:p>
          <w:p w:rsidR="00DB2D1A" w:rsidRDefault="00DB2D1A">
            <w:r>
              <w:rPr>
                <w:rFonts w:ascii="Helvetica" w:hAnsi="Helvetica"/>
                <w:sz w:val="21"/>
                <w:szCs w:val="21"/>
              </w:rPr>
              <w:t> </w:t>
            </w:r>
          </w:p>
          <w:p w:rsidR="00DB2D1A" w:rsidRDefault="00DB2D1A">
            <w:pPr>
              <w:rPr>
                <w:rFonts w:ascii="Helvetica" w:hAnsi="Helvetica"/>
                <w:color w:val="000000"/>
                <w:sz w:val="21"/>
                <w:szCs w:val="21"/>
              </w:rPr>
            </w:pPr>
            <w:r>
              <w:rPr>
                <w:rFonts w:ascii="Helvetica" w:hAnsi="Helvetica"/>
                <w:color w:val="000000"/>
                <w:sz w:val="21"/>
                <w:szCs w:val="21"/>
              </w:rPr>
              <w:t>Support the Chief Medical Examiner and other key staff in administrative and operational activities that support their ability to engage as subject matter and technical experts.</w:t>
            </w:r>
            <w:r>
              <w:rPr>
                <w:rFonts w:ascii="Helvetica" w:hAnsi="Helvetica"/>
                <w:color w:val="000000"/>
                <w:sz w:val="21"/>
                <w:szCs w:val="21"/>
              </w:rPr>
              <w:br/>
            </w:r>
            <w:r>
              <w:rPr>
                <w:rFonts w:ascii="Helvetica" w:hAnsi="Helvetica"/>
                <w:color w:val="000000"/>
                <w:sz w:val="21"/>
                <w:szCs w:val="21"/>
              </w:rPr>
              <w:br/>
              <w:t>Provide staff support and oversight, including evaluations, payroll, and general HR functions and ensure that all functions operate in alignment with County guidelines and responsibilities.  Traditionally this function has extreme staffing shortages that are affected by national shortages in a variety of critical positions.  Develop actionable plans to recruit and retain candidates in necessary positions.</w:t>
            </w:r>
            <w:r>
              <w:rPr>
                <w:rFonts w:ascii="Helvetica" w:hAnsi="Helvetica"/>
                <w:color w:val="000000"/>
                <w:sz w:val="21"/>
                <w:szCs w:val="21"/>
              </w:rPr>
              <w:br/>
            </w:r>
            <w:r>
              <w:rPr>
                <w:rFonts w:ascii="Helvetica" w:hAnsi="Helvetica"/>
                <w:color w:val="000000"/>
                <w:sz w:val="21"/>
                <w:szCs w:val="21"/>
              </w:rPr>
              <w:br/>
              <w:t>Develop concrete, goal-based performance metrics for the Division that can be reported publicly.  Foster a culture of quality improvement for continuous improvement.</w:t>
            </w:r>
            <w:r>
              <w:rPr>
                <w:rFonts w:ascii="Helvetica" w:hAnsi="Helvetica"/>
                <w:color w:val="000000"/>
                <w:sz w:val="21"/>
                <w:szCs w:val="21"/>
              </w:rPr>
              <w:br/>
            </w:r>
            <w:r>
              <w:rPr>
                <w:rFonts w:ascii="Helvetica" w:hAnsi="Helvetica"/>
                <w:color w:val="000000"/>
                <w:sz w:val="21"/>
                <w:szCs w:val="21"/>
              </w:rPr>
              <w:br/>
              <w:t>Liaison with other DPH divisions, and represent the office as directed by the Medical Examiner or the Director of Public Health.</w:t>
            </w:r>
            <w:r>
              <w:rPr>
                <w:rFonts w:ascii="Helvetica" w:hAnsi="Helvetica"/>
                <w:color w:val="000000"/>
                <w:sz w:val="21"/>
                <w:szCs w:val="21"/>
              </w:rPr>
              <w:br/>
            </w:r>
            <w:r>
              <w:rPr>
                <w:rFonts w:ascii="Helvetica" w:hAnsi="Helvetica"/>
                <w:color w:val="000000"/>
                <w:sz w:val="21"/>
                <w:szCs w:val="21"/>
              </w:rPr>
              <w:br/>
              <w:t>Work to align the program with NAME accreditation requirements.  Identify all potential gaps in alignment and develop action plans for resolution.</w:t>
            </w:r>
            <w:r>
              <w:rPr>
                <w:rFonts w:ascii="Helvetica" w:hAnsi="Helvetica"/>
                <w:color w:val="000000"/>
                <w:sz w:val="21"/>
                <w:szCs w:val="21"/>
              </w:rPr>
              <w:br/>
            </w:r>
            <w:r>
              <w:rPr>
                <w:rFonts w:ascii="Helvetica" w:hAnsi="Helvetica"/>
                <w:color w:val="000000"/>
                <w:sz w:val="21"/>
                <w:szCs w:val="21"/>
              </w:rPr>
              <w:br/>
              <w:t>Coo</w:t>
            </w:r>
            <w:r>
              <w:rPr>
                <w:rFonts w:ascii="Helvetica" w:hAnsi="Helvetica"/>
                <w:color w:val="000000"/>
                <w:sz w:val="21"/>
                <w:szCs w:val="21"/>
              </w:rPr>
              <w:t xml:space="preserve">rdinate budget and procurement </w:t>
            </w:r>
            <w:r>
              <w:rPr>
                <w:rFonts w:ascii="Helvetica" w:hAnsi="Helvetica"/>
                <w:color w:val="000000"/>
                <w:sz w:val="21"/>
                <w:szCs w:val="21"/>
              </w:rPr>
              <w:t>functions and provide fiscally responsible financial oversight.</w:t>
            </w:r>
            <w:r>
              <w:rPr>
                <w:rFonts w:ascii="Helvetica" w:hAnsi="Helvetica"/>
                <w:color w:val="000000"/>
                <w:sz w:val="21"/>
                <w:szCs w:val="21"/>
              </w:rPr>
              <w:br/>
            </w:r>
            <w:r>
              <w:rPr>
                <w:rFonts w:ascii="Helvetica" w:hAnsi="Helvetica"/>
                <w:color w:val="000000"/>
                <w:sz w:val="21"/>
                <w:szCs w:val="21"/>
              </w:rPr>
              <w:br/>
              <w:t>Perform related work as required. </w:t>
            </w:r>
          </w:p>
          <w:p w:rsidR="00675541" w:rsidRDefault="00675541">
            <w:pPr>
              <w:rPr>
                <w:rFonts w:ascii="Helvetica" w:hAnsi="Helvetica"/>
                <w:color w:val="000000"/>
                <w:sz w:val="21"/>
                <w:szCs w:val="21"/>
              </w:rPr>
            </w:pPr>
          </w:p>
          <w:p w:rsidR="00675541" w:rsidRDefault="00675541"/>
          <w:p w:rsidR="00DB2D1A" w:rsidRDefault="00DB2D1A">
            <w:pPr>
              <w:pStyle w:val="NormalWeb"/>
              <w:jc w:val="both"/>
            </w:pPr>
            <w:r>
              <w:rPr>
                <w:rFonts w:ascii="Verdana" w:hAnsi="Verdana"/>
                <w:b/>
                <w:bCs/>
                <w:color w:val="000000"/>
                <w:sz w:val="20"/>
                <w:szCs w:val="20"/>
                <w:u w:val="single"/>
              </w:rPr>
              <w:lastRenderedPageBreak/>
              <w:t>MINIMUM QUALIFICATIONS</w:t>
            </w:r>
          </w:p>
          <w:p w:rsidR="00DB2D1A" w:rsidRDefault="00DB2D1A">
            <w:r>
              <w:rPr>
                <w:rFonts w:ascii="Helvetica" w:hAnsi="Helvetica"/>
                <w:color w:val="000000"/>
                <w:sz w:val="21"/>
                <w:szCs w:val="21"/>
              </w:rPr>
              <w:t>Master's degree and six years of experience; or an equivalent combination of training and experience. ​ Experience in the field of forensic operations is highly desirable.</w:t>
            </w:r>
          </w:p>
          <w:p w:rsidR="00DB2D1A" w:rsidRDefault="00DB2D1A"/>
          <w:p w:rsidR="00DB2D1A" w:rsidRDefault="00DB2D1A">
            <w:pPr>
              <w:pStyle w:val="NormalWeb"/>
              <w:spacing w:after="240"/>
              <w:jc w:val="both"/>
            </w:pPr>
            <w:r>
              <w:rPr>
                <w:rFonts w:ascii="Verdana" w:hAnsi="Verdana"/>
                <w:b/>
                <w:bCs/>
                <w:color w:val="000000"/>
                <w:sz w:val="20"/>
                <w:szCs w:val="20"/>
                <w:u w:val="single"/>
              </w:rPr>
              <w:t>ADDITIONAL INFORMATION</w:t>
            </w:r>
          </w:p>
          <w:p w:rsidR="00675541" w:rsidRDefault="00DB2D1A">
            <w:pPr>
              <w:rPr>
                <w:rFonts w:ascii="Helvetica" w:hAnsi="Helvetica"/>
                <w:color w:val="000000"/>
                <w:sz w:val="21"/>
                <w:szCs w:val="21"/>
              </w:rPr>
            </w:pPr>
            <w:r>
              <w:rPr>
                <w:rStyle w:val="Strong"/>
                <w:rFonts w:ascii="Helvetica" w:hAnsi="Helvetica"/>
                <w:color w:val="000000"/>
                <w:sz w:val="21"/>
                <w:szCs w:val="21"/>
              </w:rPr>
              <w:t>SELECTION AND APPOINTMENT:  </w:t>
            </w:r>
            <w:r>
              <w:rPr>
                <w:rFonts w:ascii="Helvetica" w:hAnsi="Helvetica"/>
                <w:color w:val="000000"/>
                <w:sz w:val="21"/>
                <w:szCs w:val="21"/>
              </w:rPr>
              <w:t>A selection committee will evaluate the qualifications of each applicant which will include recentness and appropriateness of the applicant's education and experience, answers to the supplemental questions, results of employment references investigated and any other appropriate information available.</w:t>
            </w:r>
            <w:r>
              <w:rPr>
                <w:rFonts w:ascii="Helvetica" w:hAnsi="Helvetica"/>
                <w:color w:val="000000"/>
                <w:sz w:val="21"/>
                <w:szCs w:val="21"/>
              </w:rPr>
              <w:br/>
              <w:t> </w:t>
            </w:r>
            <w:r>
              <w:rPr>
                <w:rFonts w:ascii="Helvetica" w:hAnsi="Helvetica"/>
                <w:color w:val="000000"/>
                <w:sz w:val="21"/>
                <w:szCs w:val="21"/>
              </w:rPr>
              <w:br/>
              <w:t> The selection committee will admit to the interview only those persons who possess the most job related qualifications and may establish admittance criteria beyond the minimum qualifications stated above.  The interview will comprise 100% of the applicant's earned grade.  A candidate must earn a qualifying grade of 70 or more on the interview to be eligible for appointment.  After initial interviews with the selected candidates are conducted, an email will be sent to the address on file with instructions on how to complete and submit a Conviction Questionnaire.  Candidates have 3 days to complete the required questionnaire.   </w:t>
            </w:r>
            <w:r>
              <w:rPr>
                <w:rFonts w:ascii="Helvetica" w:hAnsi="Helvetica"/>
                <w:color w:val="000000"/>
                <w:sz w:val="21"/>
                <w:szCs w:val="21"/>
              </w:rPr>
              <w:br/>
            </w:r>
            <w:r>
              <w:rPr>
                <w:rFonts w:ascii="Helvetica" w:hAnsi="Helvetica"/>
                <w:color w:val="000000"/>
                <w:sz w:val="21"/>
                <w:szCs w:val="21"/>
              </w:rPr>
              <w:br/>
              <w:t> The five top ranking candidates, based on the final grade, will be certified to the Department Director/Appointing Authority who will make the final decision.</w:t>
            </w:r>
            <w:r>
              <w:rPr>
                <w:rFonts w:ascii="Helvetica" w:hAnsi="Helvetica"/>
                <w:color w:val="000000"/>
                <w:sz w:val="21"/>
                <w:szCs w:val="21"/>
              </w:rPr>
              <w:br/>
              <w:t> </w:t>
            </w:r>
            <w:r>
              <w:rPr>
                <w:rFonts w:ascii="Helvetica" w:hAnsi="Helvetica"/>
                <w:color w:val="000000"/>
                <w:sz w:val="21"/>
                <w:szCs w:val="21"/>
              </w:rPr>
              <w:br/>
              <w:t> All applicants conditionally offered a merit position will be required to submit to urinalysis to screen for illegal drug use prior to appointment.  Screening will be performed by a reputable clinical laboratory.  The cost of screening will be covered by the County.</w:t>
            </w:r>
            <w:r>
              <w:rPr>
                <w:rFonts w:ascii="Helvetica" w:hAnsi="Helvetica"/>
                <w:color w:val="000000"/>
                <w:sz w:val="21"/>
                <w:szCs w:val="21"/>
              </w:rPr>
              <w:br/>
              <w:t> </w:t>
            </w:r>
            <w:r>
              <w:rPr>
                <w:rFonts w:ascii="Helvetica" w:hAnsi="Helvetica"/>
                <w:color w:val="000000"/>
                <w:sz w:val="21"/>
                <w:szCs w:val="21"/>
              </w:rPr>
              <w:br/>
            </w:r>
            <w:r>
              <w:rPr>
                <w:rStyle w:val="Strong"/>
                <w:rFonts w:ascii="Helvetica" w:hAnsi="Helvetica"/>
                <w:color w:val="000000"/>
                <w:sz w:val="21"/>
                <w:szCs w:val="21"/>
              </w:rPr>
              <w:t>EQUAL EMPLOYMENT OPPORTUNITY POLICY:  </w:t>
            </w:r>
            <w:r>
              <w:rPr>
                <w:rFonts w:ascii="Helvetica" w:hAnsi="Helvetica"/>
                <w:color w:val="000000"/>
                <w:sz w:val="21"/>
                <w:szCs w:val="21"/>
              </w:rPr>
              <w:t>The policy of the Civil Service Commission of St. Louis County is to support fair and equitable employment opportunities for all persons regardless of race, color, religion, sex, national origin, age, disability, sexual orientation, gender identity, marital status, veterans' status or political affiliation.  Call the Division of Personnel at (314) 615-5429 for mor</w:t>
            </w:r>
            <w:r w:rsidR="00EC78D1">
              <w:rPr>
                <w:rFonts w:ascii="Helvetica" w:hAnsi="Helvetica"/>
                <w:color w:val="000000"/>
                <w:sz w:val="21"/>
                <w:szCs w:val="21"/>
              </w:rPr>
              <w:t>e information on this policy.</w:t>
            </w:r>
            <w:r w:rsidR="00EC78D1">
              <w:rPr>
                <w:rFonts w:ascii="Helvetica" w:hAnsi="Helvetica"/>
                <w:color w:val="000000"/>
                <w:sz w:val="21"/>
                <w:szCs w:val="21"/>
              </w:rPr>
              <w:br/>
            </w:r>
          </w:p>
          <w:p w:rsidR="00675541" w:rsidRDefault="00675541">
            <w:pPr>
              <w:rPr>
                <w:rFonts w:ascii="Helvetica" w:hAnsi="Helvetica"/>
                <w:color w:val="000000"/>
                <w:sz w:val="21"/>
                <w:szCs w:val="21"/>
              </w:rPr>
            </w:pPr>
            <w:r w:rsidRPr="00675541">
              <w:rPr>
                <w:rFonts w:ascii="Helvetica" w:hAnsi="Helvetica"/>
                <w:b/>
                <w:color w:val="000000"/>
                <w:sz w:val="21"/>
                <w:szCs w:val="21"/>
              </w:rPr>
              <w:t>APPLICATIONS MAY BE OBTAINED AND FILED ONLINE AT</w:t>
            </w:r>
            <w:r w:rsidRPr="00675541">
              <w:rPr>
                <w:rFonts w:ascii="Helvetica" w:hAnsi="Helvetica"/>
                <w:color w:val="000000"/>
                <w:sz w:val="21"/>
                <w:szCs w:val="21"/>
              </w:rPr>
              <w:t>:</w:t>
            </w:r>
          </w:p>
          <w:p w:rsidR="00A61DA7" w:rsidRDefault="00A61DA7">
            <w:pPr>
              <w:rPr>
                <w:rFonts w:ascii="Helvetica" w:hAnsi="Helvetica"/>
                <w:color w:val="000000"/>
                <w:sz w:val="21"/>
                <w:szCs w:val="21"/>
              </w:rPr>
            </w:pPr>
          </w:p>
          <w:p w:rsidR="00A61DA7" w:rsidRDefault="00A61DA7">
            <w:pPr>
              <w:rPr>
                <w:rFonts w:ascii="Helvetica" w:hAnsi="Helvetica"/>
                <w:color w:val="000000"/>
                <w:sz w:val="21"/>
                <w:szCs w:val="21"/>
              </w:rPr>
            </w:pPr>
            <w:hyperlink r:id="rId6" w:history="1">
              <w:r>
                <w:rPr>
                  <w:rStyle w:val="Hyperlink"/>
                  <w:rFonts w:ascii="Helvetica" w:hAnsi="Helvetica"/>
                  <w:sz w:val="21"/>
                  <w:szCs w:val="21"/>
                </w:rPr>
                <w:t>www.stlouiscountymo.gov</w:t>
              </w:r>
            </w:hyperlink>
          </w:p>
          <w:p w:rsidR="00A61DA7" w:rsidRDefault="00A61DA7">
            <w:pPr>
              <w:rPr>
                <w:rFonts w:ascii="Helvetica" w:hAnsi="Helvetica"/>
                <w:color w:val="000000"/>
                <w:sz w:val="21"/>
                <w:szCs w:val="21"/>
              </w:rPr>
            </w:pPr>
          </w:p>
          <w:p w:rsidR="00A61DA7" w:rsidRDefault="00A61DA7">
            <w:pPr>
              <w:rPr>
                <w:rFonts w:ascii="Helvetica" w:hAnsi="Helvetica"/>
                <w:color w:val="000000"/>
                <w:sz w:val="21"/>
                <w:szCs w:val="21"/>
              </w:rPr>
            </w:pPr>
            <w:r>
              <w:rPr>
                <w:rFonts w:ascii="Helvetica" w:hAnsi="Helvetica"/>
                <w:color w:val="000000"/>
                <w:sz w:val="21"/>
                <w:szCs w:val="21"/>
              </w:rPr>
              <w:t>or</w:t>
            </w:r>
          </w:p>
          <w:p w:rsidR="00EC78D1" w:rsidRPr="00A61DA7" w:rsidRDefault="00EC78D1">
            <w:pPr>
              <w:rPr>
                <w:rStyle w:val="Strong"/>
                <w:rFonts w:ascii="Helvetica" w:hAnsi="Helvetica"/>
                <w:b w:val="0"/>
                <w:color w:val="000000"/>
                <w:sz w:val="21"/>
                <w:szCs w:val="21"/>
              </w:rPr>
            </w:pPr>
            <w:r>
              <w:rPr>
                <w:rFonts w:ascii="Helvetica" w:hAnsi="Helvetica"/>
                <w:color w:val="000000"/>
                <w:sz w:val="21"/>
                <w:szCs w:val="21"/>
              </w:rPr>
              <w:br/>
            </w:r>
            <w:r w:rsidR="00DB2D1A" w:rsidRPr="00A61DA7">
              <w:rPr>
                <w:rStyle w:val="Strong"/>
                <w:rFonts w:ascii="Helvetica" w:hAnsi="Helvetica"/>
                <w:b w:val="0"/>
                <w:color w:val="000000"/>
                <w:sz w:val="21"/>
                <w:szCs w:val="21"/>
              </w:rPr>
              <w:t>St. Louis County</w:t>
            </w:r>
            <w:bookmarkStart w:id="0" w:name="_GoBack"/>
            <w:bookmarkEnd w:id="0"/>
            <w:r w:rsidR="00DB2D1A" w:rsidRPr="00A61DA7">
              <w:rPr>
                <w:rFonts w:ascii="Helvetica" w:hAnsi="Helvetica"/>
                <w:b/>
                <w:bCs/>
                <w:color w:val="000000"/>
                <w:sz w:val="21"/>
                <w:szCs w:val="21"/>
              </w:rPr>
              <w:br/>
            </w:r>
            <w:r w:rsidR="00DB2D1A" w:rsidRPr="00A61DA7">
              <w:rPr>
                <w:rStyle w:val="Strong"/>
                <w:rFonts w:ascii="Helvetica" w:hAnsi="Helvetica"/>
                <w:b w:val="0"/>
                <w:color w:val="000000"/>
                <w:sz w:val="21"/>
                <w:szCs w:val="21"/>
              </w:rPr>
              <w:t>Division of Personnel, 7th Floor</w:t>
            </w:r>
          </w:p>
          <w:p w:rsidR="00DB2D1A" w:rsidRDefault="00EC78D1" w:rsidP="00A61DA7">
            <w:r w:rsidRPr="00A61DA7">
              <w:rPr>
                <w:rStyle w:val="Strong"/>
                <w:rFonts w:ascii="Helvetica" w:hAnsi="Helvetica"/>
                <w:b w:val="0"/>
                <w:color w:val="000000"/>
                <w:sz w:val="21"/>
                <w:szCs w:val="21"/>
              </w:rPr>
              <w:t>41 South Central</w:t>
            </w:r>
            <w:r w:rsidR="00DB2D1A" w:rsidRPr="00A61DA7">
              <w:rPr>
                <w:rFonts w:ascii="Helvetica" w:hAnsi="Helvetica"/>
                <w:b/>
                <w:bCs/>
                <w:color w:val="000000"/>
                <w:sz w:val="21"/>
                <w:szCs w:val="21"/>
              </w:rPr>
              <w:br/>
            </w:r>
            <w:r w:rsidR="00DB2D1A" w:rsidRPr="00A61DA7">
              <w:rPr>
                <w:rStyle w:val="Strong"/>
                <w:rFonts w:ascii="Helvetica" w:hAnsi="Helvetica"/>
                <w:b w:val="0"/>
                <w:color w:val="000000"/>
                <w:sz w:val="21"/>
                <w:szCs w:val="21"/>
              </w:rPr>
              <w:t>Clayton, MO 63105</w:t>
            </w:r>
            <w:r w:rsidR="00DB2D1A" w:rsidRPr="00A61DA7">
              <w:rPr>
                <w:rFonts w:ascii="Helvetica" w:hAnsi="Helvetica"/>
                <w:b/>
                <w:bCs/>
                <w:color w:val="000000"/>
                <w:sz w:val="21"/>
                <w:szCs w:val="21"/>
              </w:rPr>
              <w:br/>
            </w:r>
            <w:r w:rsidR="00DB2D1A" w:rsidRPr="00A61DA7">
              <w:rPr>
                <w:rStyle w:val="Strong"/>
                <w:rFonts w:ascii="Helvetica" w:hAnsi="Helvetica"/>
                <w:b w:val="0"/>
                <w:color w:val="000000"/>
                <w:sz w:val="21"/>
                <w:szCs w:val="21"/>
              </w:rPr>
              <w:t>(314) 615-5429</w:t>
            </w:r>
            <w:r w:rsidR="00DB2D1A" w:rsidRPr="00A61DA7">
              <w:rPr>
                <w:rFonts w:ascii="Helvetica" w:hAnsi="Helvetica"/>
                <w:b/>
                <w:color w:val="000000"/>
                <w:sz w:val="21"/>
                <w:szCs w:val="21"/>
              </w:rPr>
              <w:br/>
            </w:r>
            <w:r w:rsidR="00DB2D1A" w:rsidRPr="00A61DA7">
              <w:rPr>
                <w:rStyle w:val="Strong"/>
                <w:rFonts w:ascii="Helvetica" w:hAnsi="Helvetica"/>
                <w:b w:val="0"/>
                <w:color w:val="000000"/>
                <w:sz w:val="21"/>
                <w:szCs w:val="21"/>
              </w:rPr>
              <w:t>Relay MO 711 or 800-735-2966</w:t>
            </w:r>
            <w:r w:rsidR="00DB2D1A" w:rsidRPr="00A61DA7">
              <w:rPr>
                <w:rFonts w:ascii="Helvetica" w:hAnsi="Helvetica"/>
                <w:b/>
                <w:bCs/>
                <w:color w:val="000000"/>
                <w:sz w:val="21"/>
                <w:szCs w:val="21"/>
              </w:rPr>
              <w:br/>
            </w:r>
            <w:r w:rsidR="00DB2D1A" w:rsidRPr="00A61DA7">
              <w:rPr>
                <w:rStyle w:val="Strong"/>
                <w:rFonts w:ascii="Helvetica" w:hAnsi="Helvetica"/>
                <w:b w:val="0"/>
                <w:color w:val="000000"/>
                <w:sz w:val="21"/>
                <w:szCs w:val="21"/>
              </w:rPr>
              <w:t>An Equal Opportunity Employer</w:t>
            </w:r>
            <w:r w:rsidR="00DB2D1A" w:rsidRPr="00A61DA7">
              <w:rPr>
                <w:rFonts w:ascii="Helvetica" w:hAnsi="Helvetica"/>
                <w:b/>
                <w:bCs/>
                <w:color w:val="000000"/>
                <w:sz w:val="21"/>
                <w:szCs w:val="21"/>
              </w:rPr>
              <w:br/>
            </w:r>
            <w:r w:rsidR="00DB2D1A" w:rsidRPr="00A61DA7">
              <w:rPr>
                <w:rStyle w:val="Strong"/>
                <w:rFonts w:ascii="Helvetica" w:hAnsi="Helvetica"/>
                <w:b w:val="0"/>
                <w:color w:val="000000"/>
                <w:sz w:val="21"/>
                <w:szCs w:val="21"/>
              </w:rPr>
              <w:t>Fax:  (314) 615-7703</w:t>
            </w:r>
            <w:r w:rsidR="00DB2D1A">
              <w:rPr>
                <w:rFonts w:ascii="Helvetica" w:hAnsi="Helvetica"/>
                <w:b/>
                <w:bCs/>
                <w:color w:val="000000"/>
                <w:sz w:val="21"/>
                <w:szCs w:val="21"/>
              </w:rPr>
              <w:br/>
            </w:r>
            <w:r w:rsidR="00DB2D1A">
              <w:rPr>
                <w:rFonts w:ascii="Helvetica" w:hAnsi="Helvetica"/>
                <w:color w:val="000000"/>
                <w:sz w:val="21"/>
                <w:szCs w:val="21"/>
              </w:rPr>
              <w:br/>
            </w:r>
            <w:r w:rsidR="00DB2D1A">
              <w:rPr>
                <w:rFonts w:ascii="Helvetica" w:hAnsi="Helvetica"/>
                <w:color w:val="000000"/>
                <w:sz w:val="21"/>
                <w:szCs w:val="21"/>
              </w:rPr>
              <w:br/>
              <w:t> </w:t>
            </w:r>
            <w:r w:rsidR="00DB2D1A">
              <w:rPr>
                <w:rFonts w:ascii="Helvetica" w:hAnsi="Helvetica"/>
                <w:color w:val="000000"/>
                <w:sz w:val="21"/>
                <w:szCs w:val="21"/>
              </w:rPr>
              <w:br/>
              <w:t> </w:t>
            </w:r>
            <w:r w:rsidR="00DB2D1A">
              <w:rPr>
                <w:rFonts w:ascii="Helvetica" w:hAnsi="Helvetica"/>
                <w:color w:val="000000"/>
                <w:sz w:val="21"/>
                <w:szCs w:val="21"/>
              </w:rPr>
              <w:br/>
              <w:t> </w:t>
            </w:r>
          </w:p>
        </w:tc>
      </w:tr>
      <w:tr w:rsidR="00DB2D1A" w:rsidTr="00DB2D1A">
        <w:trPr>
          <w:tblCellSpacing w:w="0" w:type="dxa"/>
        </w:trPr>
        <w:tc>
          <w:tcPr>
            <w:tcW w:w="0" w:type="auto"/>
            <w:tcBorders>
              <w:top w:val="outset" w:sz="8" w:space="0" w:color="808080"/>
              <w:left w:val="outset" w:sz="8" w:space="0" w:color="808080"/>
              <w:bottom w:val="outset" w:sz="8" w:space="0" w:color="808080"/>
              <w:right w:val="outset" w:sz="8" w:space="0" w:color="808080"/>
            </w:tcBorders>
            <w:shd w:val="clear" w:color="auto" w:fill="FFFFFF"/>
            <w:tcMar>
              <w:top w:w="75" w:type="dxa"/>
              <w:left w:w="75" w:type="dxa"/>
              <w:bottom w:w="75" w:type="dxa"/>
              <w:right w:w="75" w:type="dxa"/>
            </w:tcMar>
            <w:vAlign w:val="center"/>
            <w:hideMark/>
          </w:tcPr>
          <w:p w:rsidR="00DB2D1A" w:rsidRDefault="00DB2D1A">
            <w:pPr>
              <w:rPr>
                <w:rFonts w:ascii="Times New Roman" w:eastAsia="Times New Roman" w:hAnsi="Times New Roman" w:cs="Times New Roman"/>
                <w:sz w:val="20"/>
                <w:szCs w:val="20"/>
              </w:rPr>
            </w:pPr>
          </w:p>
        </w:tc>
      </w:tr>
    </w:tbl>
    <w:p w:rsidR="00DB2D1A" w:rsidRDefault="00DB2D1A" w:rsidP="00DB2D1A">
      <w:pPr>
        <w:rPr>
          <w:color w:val="000000"/>
        </w:rPr>
      </w:pPr>
      <w:r>
        <w:rPr>
          <w:color w:val="000000"/>
        </w:rPr>
        <w:lastRenderedPageBreak/>
        <w:t> </w:t>
      </w:r>
    </w:p>
    <w:p w:rsidR="00DB2D1A" w:rsidRDefault="00DB2D1A" w:rsidP="00DB2D1A">
      <w:pPr>
        <w:rPr>
          <w:color w:val="000000"/>
        </w:rPr>
      </w:pPr>
      <w:r>
        <w:rPr>
          <w:color w:val="000000"/>
        </w:rPr>
        <w:t> </w:t>
      </w:r>
    </w:p>
    <w:p w:rsidR="00834AD2" w:rsidRDefault="00834AD2"/>
    <w:sectPr w:rsidR="00834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1A"/>
    <w:rsid w:val="00675541"/>
    <w:rsid w:val="00834AD2"/>
    <w:rsid w:val="00A61DA7"/>
    <w:rsid w:val="00DB2D1A"/>
    <w:rsid w:val="00EC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833D7-1775-4B30-BA75-90AB4B9A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D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D1A"/>
    <w:rPr>
      <w:color w:val="0563C1"/>
      <w:u w:val="single"/>
    </w:rPr>
  </w:style>
  <w:style w:type="paragraph" w:styleId="NormalWeb">
    <w:name w:val="Normal (Web)"/>
    <w:basedOn w:val="Normal"/>
    <w:uiPriority w:val="99"/>
    <w:semiHidden/>
    <w:unhideWhenUsed/>
    <w:rsid w:val="00DB2D1A"/>
    <w:rPr>
      <w:rFonts w:ascii="Times New Roman" w:hAnsi="Times New Roman" w:cs="Times New Roman"/>
      <w:sz w:val="24"/>
      <w:szCs w:val="24"/>
    </w:rPr>
  </w:style>
  <w:style w:type="character" w:styleId="Strong">
    <w:name w:val="Strong"/>
    <w:basedOn w:val="DefaultParagraphFont"/>
    <w:uiPriority w:val="22"/>
    <w:qFormat/>
    <w:rsid w:val="00DB2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ouiscountymo.gov/" TargetMode="External"/><Relationship Id="rId5" Type="http://schemas.openxmlformats.org/officeDocument/2006/relationships/image" Target="cid:image001.png@01D73CEC.CF8AFDA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663</Words>
  <Characters>3781</Characters>
  <Application>Microsoft Office Word</Application>
  <DocSecurity>0</DocSecurity>
  <Lines>31</Lines>
  <Paragraphs>8</Paragraphs>
  <ScaleCrop>false</ScaleCrop>
  <Company>SSSSCCM2012</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Stephen</dc:creator>
  <cp:keywords/>
  <dc:description/>
  <cp:lastModifiedBy>Chapman, Stephen</cp:lastModifiedBy>
  <cp:revision>4</cp:revision>
  <dcterms:created xsi:type="dcterms:W3CDTF">2021-05-04T14:49:00Z</dcterms:created>
  <dcterms:modified xsi:type="dcterms:W3CDTF">2021-05-04T15:01:00Z</dcterms:modified>
</cp:coreProperties>
</file>