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559D"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Stockton University is ranked among the top public universities in the Northeast with more than 160 undergraduate and graduate programs, as well as continuing education opportunities. The University, one hour from Philadelphia and two hours from New York City, offers unique living and learning environments throughout southern New Jersey, including the 1,600 acre Galloway campus in the Pinelands National Reserve and Stockton University Atlantic City, located in the University District, just steps from the beach and the iconic Atlantic City Boardwalk. Additional locations include Hammonton, Manahawkin and Woodbine. As a public university, Stockton provides an environment for excellence to a diverse student body, including those from underrepresented populations, through an interdisciplinary approach to liberal arts, sciences and professional education. Founded in 1969, Stockton held its first classes in 1971. The University's commitment to cultural diversity and its welcoming and vibrant community makes Stockton a great place to learn and work! Learn more about the many reasons to choose Stockton at </w:t>
      </w:r>
      <w:hyperlink r:id="rId5" w:history="1">
        <w:r w:rsidRPr="009450DD">
          <w:rPr>
            <w:rFonts w:ascii="Source Sans Pro" w:eastAsia="Times New Roman" w:hAnsi="Source Sans Pro" w:cs="Times New Roman"/>
            <w:color w:val="3C8DBC"/>
            <w:sz w:val="21"/>
            <w:szCs w:val="21"/>
            <w:u w:val="single"/>
            <w:lang w:eastAsia="en-PH"/>
          </w:rPr>
          <w:t>www.Stockton.edu</w:t>
        </w:r>
      </w:hyperlink>
      <w:r w:rsidRPr="009450DD">
        <w:rPr>
          <w:rFonts w:ascii="Source Sans Pro" w:eastAsia="Times New Roman" w:hAnsi="Source Sans Pro" w:cs="Times New Roman"/>
          <w:color w:val="333333"/>
          <w:sz w:val="21"/>
          <w:szCs w:val="21"/>
          <w:lang w:eastAsia="en-PH"/>
        </w:rPr>
        <w:t>.</w:t>
      </w:r>
    </w:p>
    <w:p w14:paraId="65A45DBF"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b/>
          <w:bCs/>
          <w:color w:val="333333"/>
          <w:sz w:val="21"/>
          <w:szCs w:val="21"/>
          <w:shd w:val="clear" w:color="auto" w:fill="FFFF00"/>
          <w:lang w:eastAsia="en-PH"/>
        </w:rPr>
        <w:t>This is an in-person on campus, non-remote position.</w:t>
      </w:r>
    </w:p>
    <w:p w14:paraId="6DAD5003"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b/>
          <w:bCs/>
          <w:color w:val="333333"/>
          <w:sz w:val="21"/>
          <w:szCs w:val="21"/>
          <w:lang w:eastAsia="en-PH"/>
        </w:rPr>
        <w:t>As a condition of employment, you are required to provide proof of full COVID-19 vaccination. If you are unable to be vaccinated against COVID-19 for medical or religious reasons, or reasons related to a current pregnancy, you may submit a waiver request. If you are approved for an exemption from the COVID-19 vaccination requirement, you will be required to wear a mask while indoors on campus when you cannot be socially distanced, and you will be required to be tested for COVID-19 by the University on a regular schedule.</w:t>
      </w:r>
    </w:p>
    <w:p w14:paraId="2CE364F3"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The Criminal Justice Program invites applicants with a background and working knowledge in forensic investigation for a non-tenured position beginning September 1, 2022. Applicants should demonstrate experience in and ability to teach courses in forensic investigation which includes crime scene investigation, rules of evidence, blood spatter examination, crime scene photography, fingerprint examination, ballistics, and criminal behavior, using a critical examination of the literature. Candidates should also be able to contribute to some of the core Criminal Justice courses (Introduction to CJ, Theories, Policing, Courts, Corrections, Research Methods, and/or Statistics).</w:t>
      </w:r>
    </w:p>
    <w:p w14:paraId="2AA47A72" w14:textId="77777777" w:rsidR="009450DD" w:rsidRPr="009450DD" w:rsidRDefault="009450DD" w:rsidP="009450DD">
      <w:pPr>
        <w:spacing w:after="0" w:line="240" w:lineRule="auto"/>
        <w:rPr>
          <w:rFonts w:ascii="Times New Roman" w:eastAsia="Times New Roman" w:hAnsi="Times New Roman" w:cs="Times New Roman"/>
          <w:sz w:val="24"/>
          <w:szCs w:val="24"/>
          <w:lang w:eastAsia="en-PH"/>
        </w:rPr>
      </w:pPr>
      <w:r w:rsidRPr="009450DD">
        <w:rPr>
          <w:rFonts w:ascii="Source Sans Pro" w:eastAsia="Times New Roman" w:hAnsi="Source Sans Pro" w:cs="Times New Roman"/>
          <w:color w:val="333333"/>
          <w:sz w:val="21"/>
          <w:szCs w:val="21"/>
          <w:lang w:eastAsia="en-PH"/>
        </w:rPr>
        <w:br/>
      </w:r>
      <w:r w:rsidRPr="009450DD">
        <w:rPr>
          <w:rFonts w:ascii="Source Sans Pro" w:eastAsia="Times New Roman" w:hAnsi="Source Sans Pro" w:cs="Times New Roman"/>
          <w:color w:val="333333"/>
          <w:sz w:val="21"/>
          <w:szCs w:val="21"/>
          <w:lang w:eastAsia="en-PH"/>
        </w:rPr>
        <w:br/>
      </w:r>
    </w:p>
    <w:p w14:paraId="02FA3BCA"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b/>
          <w:bCs/>
          <w:color w:val="333333"/>
          <w:sz w:val="21"/>
          <w:szCs w:val="21"/>
          <w:lang w:eastAsia="en-PH"/>
        </w:rPr>
        <w:t>Screening of applications begins immediately and will continue until the position is filled.</w:t>
      </w:r>
    </w:p>
    <w:p w14:paraId="54D455BA"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b/>
          <w:bCs/>
          <w:color w:val="333333"/>
          <w:sz w:val="21"/>
          <w:szCs w:val="21"/>
          <w:lang w:eastAsia="en-PH"/>
        </w:rPr>
        <w:t>Only electronic documents will be accepted. Please complete the on-line application in addition to providing the following required documents. All required documents must be submitted in order for your application to move forward.</w:t>
      </w:r>
      <w:r w:rsidRPr="009450DD">
        <w:rPr>
          <w:rFonts w:ascii="Source Sans Pro" w:eastAsia="Times New Roman" w:hAnsi="Source Sans Pro" w:cs="Times New Roman"/>
          <w:color w:val="333333"/>
          <w:sz w:val="21"/>
          <w:szCs w:val="21"/>
          <w:lang w:eastAsia="en-PH"/>
        </w:rPr>
        <w:t> </w:t>
      </w:r>
      <w:r w:rsidRPr="009450DD">
        <w:rPr>
          <w:rFonts w:ascii="Source Sans Pro" w:eastAsia="Times New Roman" w:hAnsi="Source Sans Pro" w:cs="Times New Roman"/>
          <w:i/>
          <w:iCs/>
          <w:color w:val="333333"/>
          <w:sz w:val="21"/>
          <w:szCs w:val="21"/>
          <w:lang w:eastAsia="en-PH"/>
        </w:rPr>
        <w:t>You may upload documents using Microsoft Word or PDF.</w:t>
      </w:r>
    </w:p>
    <w:p w14:paraId="70E993E4" w14:textId="77777777" w:rsidR="009450DD" w:rsidRPr="009450DD" w:rsidRDefault="009450DD" w:rsidP="009450DD">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A letter of interest describing qualifications and accomplishments, as well as which core courses the applicant has experience teaching and/or is willing to teach</w:t>
      </w:r>
    </w:p>
    <w:p w14:paraId="4BDB8212" w14:textId="77777777" w:rsidR="009450DD" w:rsidRPr="009450DD" w:rsidRDefault="009450DD" w:rsidP="009450DD">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A curriculum vitae</w:t>
      </w:r>
    </w:p>
    <w:p w14:paraId="3F19CA46" w14:textId="77777777" w:rsidR="009450DD" w:rsidRPr="009450DD" w:rsidRDefault="009450DD" w:rsidP="009450DD">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A list of three professional references (included in the application): Name, Organization, Email address and Telephone</w:t>
      </w:r>
    </w:p>
    <w:p w14:paraId="5B71C22F" w14:textId="77777777" w:rsidR="009450DD" w:rsidRPr="009450DD" w:rsidRDefault="009450DD" w:rsidP="009450DD">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Short (1-page) teaching philosophy statement</w:t>
      </w:r>
    </w:p>
    <w:p w14:paraId="36336E59" w14:textId="77777777" w:rsidR="009450DD" w:rsidRPr="009450DD" w:rsidRDefault="009450DD" w:rsidP="009450DD">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Unofficial Graduate transcripts</w:t>
      </w:r>
    </w:p>
    <w:p w14:paraId="6E1D2E09"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b/>
          <w:bCs/>
          <w:color w:val="333333"/>
          <w:sz w:val="21"/>
          <w:szCs w:val="21"/>
          <w:lang w:eastAsia="en-PH"/>
        </w:rPr>
        <w:t>Please note:</w:t>
      </w:r>
    </w:p>
    <w:p w14:paraId="707C0A13" w14:textId="77777777" w:rsidR="009450DD" w:rsidRPr="009450DD" w:rsidRDefault="009450DD" w:rsidP="009450DD">
      <w:pPr>
        <w:numPr>
          <w:ilvl w:val="0"/>
          <w:numId w:val="20"/>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All offers of employment are contingent upon a favorable background check, which may include social intelligence from a consumer reporting agency.</w:t>
      </w:r>
    </w:p>
    <w:p w14:paraId="619B7003" w14:textId="77777777" w:rsidR="009450DD" w:rsidRPr="009450DD" w:rsidRDefault="009450DD" w:rsidP="009450DD">
      <w:pPr>
        <w:numPr>
          <w:ilvl w:val="0"/>
          <w:numId w:val="20"/>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lastRenderedPageBreak/>
        <w:t>Individuals with disabilities desiring accommodations in the application process should contact the Office of Human Resources (Main Campus, J-115) at 609-652-4384, Monday - Friday between 8:00am - 5:00pm.</w:t>
      </w:r>
    </w:p>
    <w:p w14:paraId="23251FB3" w14:textId="77777777" w:rsidR="009450DD" w:rsidRPr="009450DD" w:rsidRDefault="009450DD" w:rsidP="009450DD">
      <w:pPr>
        <w:numPr>
          <w:ilvl w:val="0"/>
          <w:numId w:val="20"/>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In accordance with the New Jersey First Act P.L. 2011 c.70, effective September 1, 2011, new public employees in certain positions (faculty exempt) are required to obtain New Jersey residency within one (1) year of employment. Applicants must meet the requirements listed.</w:t>
      </w:r>
    </w:p>
    <w:p w14:paraId="623DCC20" w14:textId="77777777" w:rsidR="009450DD" w:rsidRPr="009450DD" w:rsidRDefault="009450DD" w:rsidP="009450DD">
      <w:pPr>
        <w:numPr>
          <w:ilvl w:val="0"/>
          <w:numId w:val="20"/>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 xml:space="preserve">Pursuant to the Jeanne </w:t>
      </w:r>
      <w:proofErr w:type="spellStart"/>
      <w:r w:rsidRPr="009450DD">
        <w:rPr>
          <w:rFonts w:ascii="Source Sans Pro" w:eastAsia="Times New Roman" w:hAnsi="Source Sans Pro" w:cs="Times New Roman"/>
          <w:color w:val="333333"/>
          <w:sz w:val="21"/>
          <w:szCs w:val="21"/>
          <w:lang w:eastAsia="en-PH"/>
        </w:rPr>
        <w:t>Clery</w:t>
      </w:r>
      <w:proofErr w:type="spellEnd"/>
      <w:r w:rsidRPr="009450DD">
        <w:rPr>
          <w:rFonts w:ascii="Source Sans Pro" w:eastAsia="Times New Roman" w:hAnsi="Source Sans Pro" w:cs="Times New Roman"/>
          <w:color w:val="333333"/>
          <w:sz w:val="21"/>
          <w:szCs w:val="21"/>
          <w:lang w:eastAsia="en-PH"/>
        </w:rPr>
        <w:t xml:space="preserve"> Disclosure of Campus Security Policy and Campus Crimes Statistics Act (</w:t>
      </w:r>
      <w:proofErr w:type="spellStart"/>
      <w:r w:rsidRPr="009450DD">
        <w:rPr>
          <w:rFonts w:ascii="Source Sans Pro" w:eastAsia="Times New Roman" w:hAnsi="Source Sans Pro" w:cs="Times New Roman"/>
          <w:color w:val="333333"/>
          <w:sz w:val="21"/>
          <w:szCs w:val="21"/>
          <w:lang w:eastAsia="en-PH"/>
        </w:rPr>
        <w:t>Clery</w:t>
      </w:r>
      <w:proofErr w:type="spellEnd"/>
      <w:r w:rsidRPr="009450DD">
        <w:rPr>
          <w:rFonts w:ascii="Source Sans Pro" w:eastAsia="Times New Roman" w:hAnsi="Source Sans Pro" w:cs="Times New Roman"/>
          <w:color w:val="333333"/>
          <w:sz w:val="21"/>
          <w:szCs w:val="21"/>
          <w:lang w:eastAsia="en-PH"/>
        </w:rPr>
        <w:t xml:space="preserve"> Act), prospective employees may access Stockton's Annual Security and Fire Safety Report (ASFSR) is available at </w:t>
      </w:r>
      <w:hyperlink r:id="rId6" w:history="1">
        <w:r w:rsidRPr="009450DD">
          <w:rPr>
            <w:rFonts w:ascii="Source Sans Pro" w:eastAsia="Times New Roman" w:hAnsi="Source Sans Pro" w:cs="Times New Roman"/>
            <w:color w:val="3C8DBC"/>
            <w:sz w:val="21"/>
            <w:szCs w:val="21"/>
            <w:u w:val="single"/>
            <w:lang w:eastAsia="en-PH"/>
          </w:rPr>
          <w:t>https://www.stockton.edu/police/crime-statistics.html</w:t>
        </w:r>
      </w:hyperlink>
      <w:r w:rsidRPr="009450DD">
        <w:rPr>
          <w:rFonts w:ascii="Source Sans Pro" w:eastAsia="Times New Roman" w:hAnsi="Source Sans Pro" w:cs="Times New Roman"/>
          <w:color w:val="333333"/>
          <w:sz w:val="21"/>
          <w:szCs w:val="21"/>
          <w:lang w:eastAsia="en-PH"/>
        </w:rPr>
        <w:t xml:space="preserve">. The ASFSR contains the previous three years of reported </w:t>
      </w:r>
      <w:proofErr w:type="spellStart"/>
      <w:r w:rsidRPr="009450DD">
        <w:rPr>
          <w:rFonts w:ascii="Source Sans Pro" w:eastAsia="Times New Roman" w:hAnsi="Source Sans Pro" w:cs="Times New Roman"/>
          <w:color w:val="333333"/>
          <w:sz w:val="21"/>
          <w:szCs w:val="21"/>
          <w:lang w:eastAsia="en-PH"/>
        </w:rPr>
        <w:t>Clery</w:t>
      </w:r>
      <w:proofErr w:type="spellEnd"/>
      <w:r w:rsidRPr="009450DD">
        <w:rPr>
          <w:rFonts w:ascii="Source Sans Pro" w:eastAsia="Times New Roman" w:hAnsi="Source Sans Pro" w:cs="Times New Roman"/>
          <w:color w:val="333333"/>
          <w:sz w:val="21"/>
          <w:szCs w:val="21"/>
          <w:lang w:eastAsia="en-PH"/>
        </w:rPr>
        <w:t xml:space="preserve"> Act crime statistics, fire safety information and information regarding campus and personal safety. If you would like a paper copy of the report, please visit the Stockton University Police Department, building 71, 101 Vera King Farris Drive, Galloway Township, NJ, or call 609-652-4390, to request that a copy be mailed to you.</w:t>
      </w:r>
    </w:p>
    <w:p w14:paraId="77CCC701" w14:textId="77777777" w:rsidR="009450DD" w:rsidRPr="009450DD" w:rsidRDefault="009450DD" w:rsidP="009450DD">
      <w:pPr>
        <w:numPr>
          <w:ilvl w:val="0"/>
          <w:numId w:val="20"/>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Stockton University is an equal opportunity institution encouraging a diverse pool of applicants, visit; </w:t>
      </w:r>
      <w:hyperlink r:id="rId7" w:history="1">
        <w:r w:rsidRPr="009450DD">
          <w:rPr>
            <w:rFonts w:ascii="Source Sans Pro" w:eastAsia="Times New Roman" w:hAnsi="Source Sans Pro" w:cs="Times New Roman"/>
            <w:color w:val="3C8DBC"/>
            <w:sz w:val="21"/>
            <w:szCs w:val="21"/>
            <w:u w:val="single"/>
            <w:lang w:eastAsia="en-PH"/>
          </w:rPr>
          <w:t>http://www.stockton.edu/affirmative_action</w:t>
        </w:r>
      </w:hyperlink>
      <w:r w:rsidRPr="009450DD">
        <w:rPr>
          <w:rFonts w:ascii="Source Sans Pro" w:eastAsia="Times New Roman" w:hAnsi="Source Sans Pro" w:cs="Times New Roman"/>
          <w:color w:val="333333"/>
          <w:sz w:val="21"/>
          <w:szCs w:val="21"/>
          <w:lang w:eastAsia="en-PH"/>
        </w:rPr>
        <w:t>. Additionally, pursuant to Title IX of the Education Amendment of 1972, Stockton University prohibits discrimination on the basis of sex (i.e., which includes but is not limited to the prohibition of sexual misconduct and relationship violence, including sexual assault and harassment) in all of its educational programs and activities.</w:t>
      </w:r>
    </w:p>
    <w:p w14:paraId="05FB7A56"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#SU</w:t>
      </w:r>
    </w:p>
    <w:p w14:paraId="1B90EA38" w14:textId="77777777" w:rsidR="009450DD" w:rsidRPr="009450DD" w:rsidRDefault="009450DD" w:rsidP="009450DD">
      <w:pPr>
        <w:spacing w:after="0" w:line="240" w:lineRule="auto"/>
        <w:rPr>
          <w:rFonts w:ascii="Times New Roman" w:eastAsia="Times New Roman" w:hAnsi="Times New Roman" w:cs="Times New Roman"/>
          <w:sz w:val="24"/>
          <w:szCs w:val="24"/>
          <w:lang w:eastAsia="en-PH"/>
        </w:rPr>
      </w:pPr>
      <w:r w:rsidRPr="009450DD">
        <w:rPr>
          <w:rFonts w:ascii="Source Sans Pro" w:eastAsia="Times New Roman" w:hAnsi="Source Sans Pro" w:cs="Times New Roman"/>
          <w:color w:val="333333"/>
          <w:sz w:val="21"/>
          <w:szCs w:val="21"/>
          <w:lang w:eastAsia="en-PH"/>
        </w:rPr>
        <w:br/>
      </w:r>
      <w:r w:rsidRPr="009450DD">
        <w:rPr>
          <w:rFonts w:ascii="Source Sans Pro" w:eastAsia="Times New Roman" w:hAnsi="Source Sans Pro" w:cs="Times New Roman"/>
          <w:color w:val="333333"/>
          <w:sz w:val="21"/>
          <w:szCs w:val="21"/>
          <w:lang w:eastAsia="en-PH"/>
        </w:rPr>
        <w:br/>
      </w:r>
    </w:p>
    <w:p w14:paraId="217629EE"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Under the direction of the Dean, the Teaching Specialist will fulfill all of the responsibilities and expectations of Stockton faculty as outlined in the University policies and procedures on faculty evaluation. Specifically, the Teaching Specialist will serve in the following ways at Stockton:</w:t>
      </w:r>
    </w:p>
    <w:p w14:paraId="4D336328" w14:textId="77777777" w:rsidR="009450DD" w:rsidRPr="009450DD" w:rsidRDefault="009450DD" w:rsidP="009450DD">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Offer courses in program and the General Studies curriculum – 32TCH per Academic Year</w:t>
      </w:r>
    </w:p>
    <w:p w14:paraId="476FCB40" w14:textId="77777777" w:rsidR="009450DD" w:rsidRPr="009450DD" w:rsidRDefault="009450DD" w:rsidP="009450DD">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Serve as preceptor to students, as necessary</w:t>
      </w:r>
    </w:p>
    <w:p w14:paraId="26D5284C" w14:textId="77777777" w:rsidR="009450DD" w:rsidRPr="009450DD" w:rsidRDefault="009450DD" w:rsidP="009450DD">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Provide service to the University, community and/or profession</w:t>
      </w:r>
    </w:p>
    <w:p w14:paraId="5A77C17A" w14:textId="77777777" w:rsidR="009450DD" w:rsidRPr="009450DD" w:rsidRDefault="009450DD" w:rsidP="009450DD">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Perform other duties as may be assigned by the Dean and/or the Provost and Vice President for Academic Affairs</w:t>
      </w:r>
    </w:p>
    <w:p w14:paraId="3F46454E" w14:textId="77777777" w:rsidR="009450DD" w:rsidRPr="009450DD" w:rsidRDefault="009450DD" w:rsidP="009450DD">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Support Stockton University's diversity commitment and strong student-centered vision and mission</w:t>
      </w:r>
    </w:p>
    <w:p w14:paraId="05DD8EF7"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Candidates will be expected to teach in the B.A. and M.A. programs and must be able to teach core classes. Teaching load is four courses (16 credit hours) per semester. The position is renewable annually. Multi-year contracts are a possibility. All candidates are encouraged to teach a general studies course every semester based on program need. Additional duties, including student advisement, are required as negotiated under the collective bargaining agreement. Excellent teaching and service are expected.</w:t>
      </w:r>
    </w:p>
    <w:p w14:paraId="1FC2541A"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The program and school are committed to enhancing the diversity of the university community and curriculum. All Stockton faculty are expected to demonstrate, through past accomplishments and actions, the ability to support Stockton University's diversity commitment and strong student-centered vision and mission.</w:t>
      </w:r>
    </w:p>
    <w:p w14:paraId="7D213006" w14:textId="77777777" w:rsidR="009450DD" w:rsidRPr="009450DD" w:rsidRDefault="009450DD" w:rsidP="009450DD">
      <w:pPr>
        <w:spacing w:after="0" w:line="240" w:lineRule="auto"/>
        <w:rPr>
          <w:rFonts w:ascii="Times New Roman" w:eastAsia="Times New Roman" w:hAnsi="Times New Roman" w:cs="Times New Roman"/>
          <w:sz w:val="24"/>
          <w:szCs w:val="24"/>
          <w:lang w:eastAsia="en-PH"/>
        </w:rPr>
      </w:pPr>
      <w:r w:rsidRPr="009450DD">
        <w:rPr>
          <w:rFonts w:ascii="Source Sans Pro" w:eastAsia="Times New Roman" w:hAnsi="Source Sans Pro" w:cs="Times New Roman"/>
          <w:color w:val="333333"/>
          <w:sz w:val="21"/>
          <w:szCs w:val="21"/>
          <w:lang w:eastAsia="en-PH"/>
        </w:rPr>
        <w:br/>
      </w:r>
      <w:r w:rsidRPr="009450DD">
        <w:rPr>
          <w:rFonts w:ascii="Source Sans Pro" w:eastAsia="Times New Roman" w:hAnsi="Source Sans Pro" w:cs="Times New Roman"/>
          <w:color w:val="333333"/>
          <w:sz w:val="21"/>
          <w:szCs w:val="21"/>
          <w:lang w:eastAsia="en-PH"/>
        </w:rPr>
        <w:br/>
      </w:r>
    </w:p>
    <w:p w14:paraId="7D3C5A6D"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b/>
          <w:bCs/>
          <w:color w:val="333333"/>
          <w:sz w:val="21"/>
          <w:szCs w:val="21"/>
          <w:lang w:eastAsia="en-PH"/>
        </w:rPr>
        <w:lastRenderedPageBreak/>
        <w:t>Required Qualifications:</w:t>
      </w:r>
    </w:p>
    <w:p w14:paraId="0F65F85E" w14:textId="77777777" w:rsidR="009450DD" w:rsidRPr="009450DD" w:rsidRDefault="009450DD" w:rsidP="009450DD">
      <w:pPr>
        <w:numPr>
          <w:ilvl w:val="0"/>
          <w:numId w:val="2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M.A./M.S. in Criminal Justice or related field</w:t>
      </w:r>
    </w:p>
    <w:p w14:paraId="55F5EFDC" w14:textId="77777777" w:rsidR="009450DD" w:rsidRPr="009450DD" w:rsidRDefault="009450DD" w:rsidP="009450DD">
      <w:pPr>
        <w:numPr>
          <w:ilvl w:val="0"/>
          <w:numId w:val="2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Teaching or field experience in the content areas listed in the job overview</w:t>
      </w:r>
    </w:p>
    <w:p w14:paraId="56FFB039" w14:textId="77777777" w:rsidR="009450DD" w:rsidRPr="009450DD" w:rsidRDefault="009450DD" w:rsidP="009450DD">
      <w:pPr>
        <w:shd w:val="clear" w:color="auto" w:fill="FFFFFF"/>
        <w:spacing w:after="150"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b/>
          <w:bCs/>
          <w:color w:val="333333"/>
          <w:sz w:val="21"/>
          <w:szCs w:val="21"/>
          <w:lang w:eastAsia="en-PH"/>
        </w:rPr>
        <w:t>Preferred Qualifications:</w:t>
      </w:r>
    </w:p>
    <w:p w14:paraId="2A186ABA" w14:textId="77777777" w:rsidR="009450DD" w:rsidRPr="009450DD" w:rsidRDefault="009450DD" w:rsidP="009450DD">
      <w:pPr>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10 or more years of work experiencing working in law enforcement, official criminal justice agency, especially in a forensic related field</w:t>
      </w:r>
    </w:p>
    <w:p w14:paraId="05C32A41" w14:textId="77777777" w:rsidR="009450DD" w:rsidRPr="009450DD" w:rsidRDefault="009450DD" w:rsidP="009450DD">
      <w:pPr>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9450DD">
        <w:rPr>
          <w:rFonts w:ascii="Source Sans Pro" w:eastAsia="Times New Roman" w:hAnsi="Source Sans Pro" w:cs="Times New Roman"/>
          <w:color w:val="333333"/>
          <w:sz w:val="21"/>
          <w:szCs w:val="21"/>
          <w:lang w:eastAsia="en-PH"/>
        </w:rPr>
        <w:t>M.A./M.S. in Forensic Science, Criminal Justice Administration (or Police Administration or Police Sciences) or a forensic related field</w:t>
      </w:r>
    </w:p>
    <w:p w14:paraId="0E525289" w14:textId="4AF71BF3" w:rsidR="008E62B2" w:rsidRPr="00495B85" w:rsidRDefault="009450DD" w:rsidP="009450DD">
      <w:r w:rsidRPr="009450DD">
        <w:rPr>
          <w:rFonts w:ascii="Source Sans Pro" w:eastAsia="Times New Roman" w:hAnsi="Source Sans Pro" w:cs="Times New Roman"/>
          <w:color w:val="333333"/>
          <w:sz w:val="21"/>
          <w:szCs w:val="21"/>
          <w:lang w:eastAsia="en-PH"/>
        </w:rPr>
        <w:br/>
      </w:r>
      <w:r w:rsidRPr="009450DD">
        <w:rPr>
          <w:rFonts w:ascii="Source Sans Pro" w:eastAsia="Times New Roman" w:hAnsi="Source Sans Pro" w:cs="Times New Roman"/>
          <w:color w:val="333333"/>
          <w:sz w:val="21"/>
          <w:szCs w:val="21"/>
          <w:lang w:eastAsia="en-PH"/>
        </w:rPr>
        <w:br/>
      </w:r>
      <w:r>
        <w:rPr>
          <w:rFonts w:ascii="Source Sans Pro" w:eastAsia="Times New Roman" w:hAnsi="Source Sans Pro" w:cs="Times New Roman"/>
          <w:color w:val="333333"/>
          <w:sz w:val="21"/>
          <w:szCs w:val="21"/>
          <w:lang w:eastAsia="en-PH"/>
        </w:rPr>
        <w:t xml:space="preserve">Apply Here: </w:t>
      </w:r>
      <w:hyperlink r:id="rId8" w:tgtFrame="_blank" w:history="1">
        <w:r>
          <w:rPr>
            <w:rStyle w:val="Hyperlink"/>
            <w:rFonts w:ascii="Source Sans Pro" w:hAnsi="Source Sans Pro"/>
            <w:color w:val="3C8DBC"/>
            <w:sz w:val="21"/>
            <w:szCs w:val="21"/>
            <w:shd w:val="clear" w:color="auto" w:fill="FFFFFF"/>
          </w:rPr>
          <w:t>https://www.click2apply.net/JB7QZ5SkeRJZfLgEi2nq7</w:t>
        </w:r>
      </w:hyperlink>
      <w:r w:rsidRPr="009450DD">
        <w:rPr>
          <w:rFonts w:ascii="Source Sans Pro" w:eastAsia="Times New Roman" w:hAnsi="Source Sans Pro" w:cs="Times New Roman"/>
          <w:color w:val="333333"/>
          <w:sz w:val="21"/>
          <w:szCs w:val="21"/>
          <w:lang w:eastAsia="en-PH"/>
        </w:rPr>
        <w:br/>
      </w:r>
      <w:r w:rsidRPr="009450DD">
        <w:rPr>
          <w:rFonts w:ascii="Source Sans Pro" w:eastAsia="Times New Roman" w:hAnsi="Source Sans Pro" w:cs="Times New Roman"/>
          <w:color w:val="333333"/>
          <w:sz w:val="21"/>
          <w:szCs w:val="21"/>
          <w:lang w:eastAsia="en-PH"/>
        </w:rPr>
        <w:br/>
      </w:r>
      <w:r w:rsidRPr="009450DD">
        <w:rPr>
          <w:rFonts w:ascii="Source Sans Pro" w:eastAsia="Times New Roman" w:hAnsi="Source Sans Pro" w:cs="Times New Roman"/>
          <w:color w:val="333333"/>
          <w:sz w:val="21"/>
          <w:szCs w:val="21"/>
          <w:shd w:val="clear" w:color="auto" w:fill="FFFFFF"/>
          <w:lang w:eastAsia="en-PH"/>
        </w:rPr>
        <w:t>PI148239020</w:t>
      </w:r>
    </w:p>
    <w:sectPr w:rsidR="008E62B2" w:rsidRPr="00495B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A14"/>
    <w:multiLevelType w:val="multilevel"/>
    <w:tmpl w:val="CFD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66753"/>
    <w:multiLevelType w:val="multilevel"/>
    <w:tmpl w:val="737A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F62E0"/>
    <w:multiLevelType w:val="multilevel"/>
    <w:tmpl w:val="F29A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C6EEC"/>
    <w:multiLevelType w:val="multilevel"/>
    <w:tmpl w:val="5778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37C8E"/>
    <w:multiLevelType w:val="multilevel"/>
    <w:tmpl w:val="409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C28DD"/>
    <w:multiLevelType w:val="multilevel"/>
    <w:tmpl w:val="D518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E1432"/>
    <w:multiLevelType w:val="multilevel"/>
    <w:tmpl w:val="F798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66293"/>
    <w:multiLevelType w:val="multilevel"/>
    <w:tmpl w:val="F7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01043"/>
    <w:multiLevelType w:val="multilevel"/>
    <w:tmpl w:val="FCE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91A45"/>
    <w:multiLevelType w:val="multilevel"/>
    <w:tmpl w:val="F8A2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579A3"/>
    <w:multiLevelType w:val="multilevel"/>
    <w:tmpl w:val="4374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F75D8"/>
    <w:multiLevelType w:val="multilevel"/>
    <w:tmpl w:val="5564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15E77"/>
    <w:multiLevelType w:val="multilevel"/>
    <w:tmpl w:val="A484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67F47"/>
    <w:multiLevelType w:val="multilevel"/>
    <w:tmpl w:val="51DA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C37FB"/>
    <w:multiLevelType w:val="multilevel"/>
    <w:tmpl w:val="C2F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93A08"/>
    <w:multiLevelType w:val="multilevel"/>
    <w:tmpl w:val="E920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951F5"/>
    <w:multiLevelType w:val="multilevel"/>
    <w:tmpl w:val="C7C8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D4F37"/>
    <w:multiLevelType w:val="multilevel"/>
    <w:tmpl w:val="8F1C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D2C1A"/>
    <w:multiLevelType w:val="multilevel"/>
    <w:tmpl w:val="4DB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25049"/>
    <w:multiLevelType w:val="multilevel"/>
    <w:tmpl w:val="AA2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3D0B35"/>
    <w:multiLevelType w:val="multilevel"/>
    <w:tmpl w:val="513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C76BA9"/>
    <w:multiLevelType w:val="multilevel"/>
    <w:tmpl w:val="129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A3DA7"/>
    <w:multiLevelType w:val="multilevel"/>
    <w:tmpl w:val="E122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0"/>
  </w:num>
  <w:num w:numId="4">
    <w:abstractNumId w:val="11"/>
  </w:num>
  <w:num w:numId="5">
    <w:abstractNumId w:val="5"/>
  </w:num>
  <w:num w:numId="6">
    <w:abstractNumId w:val="3"/>
  </w:num>
  <w:num w:numId="7">
    <w:abstractNumId w:val="18"/>
  </w:num>
  <w:num w:numId="8">
    <w:abstractNumId w:val="12"/>
  </w:num>
  <w:num w:numId="9">
    <w:abstractNumId w:val="22"/>
  </w:num>
  <w:num w:numId="10">
    <w:abstractNumId w:val="16"/>
  </w:num>
  <w:num w:numId="11">
    <w:abstractNumId w:val="21"/>
  </w:num>
  <w:num w:numId="12">
    <w:abstractNumId w:val="17"/>
  </w:num>
  <w:num w:numId="13">
    <w:abstractNumId w:val="19"/>
  </w:num>
  <w:num w:numId="14">
    <w:abstractNumId w:val="20"/>
  </w:num>
  <w:num w:numId="15">
    <w:abstractNumId w:val="15"/>
  </w:num>
  <w:num w:numId="16">
    <w:abstractNumId w:val="14"/>
  </w:num>
  <w:num w:numId="17">
    <w:abstractNumId w:val="4"/>
  </w:num>
  <w:num w:numId="18">
    <w:abstractNumId w:val="9"/>
  </w:num>
  <w:num w:numId="19">
    <w:abstractNumId w:val="6"/>
  </w:num>
  <w:num w:numId="20">
    <w:abstractNumId w:val="7"/>
  </w:num>
  <w:num w:numId="21">
    <w:abstractNumId w:val="8"/>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76"/>
    <w:rsid w:val="00001D58"/>
    <w:rsid w:val="000C02F6"/>
    <w:rsid w:val="001A2439"/>
    <w:rsid w:val="003F12E8"/>
    <w:rsid w:val="00495B85"/>
    <w:rsid w:val="00656CE5"/>
    <w:rsid w:val="008E62B2"/>
    <w:rsid w:val="009450DD"/>
    <w:rsid w:val="00DD6D33"/>
    <w:rsid w:val="00EA7C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1006"/>
  <w15:chartTrackingRefBased/>
  <w15:docId w15:val="{94A5533C-B3EA-4753-BE77-8A8E2920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C76"/>
    <w:rPr>
      <w:b/>
      <w:bCs/>
    </w:rPr>
  </w:style>
  <w:style w:type="paragraph" w:styleId="NormalWeb">
    <w:name w:val="Normal (Web)"/>
    <w:basedOn w:val="Normal"/>
    <w:uiPriority w:val="99"/>
    <w:semiHidden/>
    <w:unhideWhenUsed/>
    <w:rsid w:val="000C02F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DD6D33"/>
    <w:rPr>
      <w:color w:val="0000FF"/>
      <w:u w:val="single"/>
    </w:rPr>
  </w:style>
  <w:style w:type="character" w:styleId="Emphasis">
    <w:name w:val="Emphasis"/>
    <w:basedOn w:val="DefaultParagraphFont"/>
    <w:uiPriority w:val="20"/>
    <w:qFormat/>
    <w:rsid w:val="008E6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85">
      <w:bodyDiv w:val="1"/>
      <w:marLeft w:val="0"/>
      <w:marRight w:val="0"/>
      <w:marTop w:val="0"/>
      <w:marBottom w:val="0"/>
      <w:divBdr>
        <w:top w:val="none" w:sz="0" w:space="0" w:color="auto"/>
        <w:left w:val="none" w:sz="0" w:space="0" w:color="auto"/>
        <w:bottom w:val="none" w:sz="0" w:space="0" w:color="auto"/>
        <w:right w:val="none" w:sz="0" w:space="0" w:color="auto"/>
      </w:divBdr>
    </w:div>
    <w:div w:id="202520824">
      <w:bodyDiv w:val="1"/>
      <w:marLeft w:val="0"/>
      <w:marRight w:val="0"/>
      <w:marTop w:val="0"/>
      <w:marBottom w:val="0"/>
      <w:divBdr>
        <w:top w:val="none" w:sz="0" w:space="0" w:color="auto"/>
        <w:left w:val="none" w:sz="0" w:space="0" w:color="auto"/>
        <w:bottom w:val="none" w:sz="0" w:space="0" w:color="auto"/>
        <w:right w:val="none" w:sz="0" w:space="0" w:color="auto"/>
      </w:divBdr>
    </w:div>
    <w:div w:id="288249867">
      <w:bodyDiv w:val="1"/>
      <w:marLeft w:val="0"/>
      <w:marRight w:val="0"/>
      <w:marTop w:val="0"/>
      <w:marBottom w:val="0"/>
      <w:divBdr>
        <w:top w:val="none" w:sz="0" w:space="0" w:color="auto"/>
        <w:left w:val="none" w:sz="0" w:space="0" w:color="auto"/>
        <w:bottom w:val="none" w:sz="0" w:space="0" w:color="auto"/>
        <w:right w:val="none" w:sz="0" w:space="0" w:color="auto"/>
      </w:divBdr>
    </w:div>
    <w:div w:id="861237818">
      <w:bodyDiv w:val="1"/>
      <w:marLeft w:val="0"/>
      <w:marRight w:val="0"/>
      <w:marTop w:val="0"/>
      <w:marBottom w:val="0"/>
      <w:divBdr>
        <w:top w:val="none" w:sz="0" w:space="0" w:color="auto"/>
        <w:left w:val="none" w:sz="0" w:space="0" w:color="auto"/>
        <w:bottom w:val="none" w:sz="0" w:space="0" w:color="auto"/>
        <w:right w:val="none" w:sz="0" w:space="0" w:color="auto"/>
      </w:divBdr>
    </w:div>
    <w:div w:id="1166170523">
      <w:bodyDiv w:val="1"/>
      <w:marLeft w:val="0"/>
      <w:marRight w:val="0"/>
      <w:marTop w:val="0"/>
      <w:marBottom w:val="0"/>
      <w:divBdr>
        <w:top w:val="none" w:sz="0" w:space="0" w:color="auto"/>
        <w:left w:val="none" w:sz="0" w:space="0" w:color="auto"/>
        <w:bottom w:val="none" w:sz="0" w:space="0" w:color="auto"/>
        <w:right w:val="none" w:sz="0" w:space="0" w:color="auto"/>
      </w:divBdr>
    </w:div>
    <w:div w:id="1279217054">
      <w:bodyDiv w:val="1"/>
      <w:marLeft w:val="0"/>
      <w:marRight w:val="0"/>
      <w:marTop w:val="0"/>
      <w:marBottom w:val="0"/>
      <w:divBdr>
        <w:top w:val="none" w:sz="0" w:space="0" w:color="auto"/>
        <w:left w:val="none" w:sz="0" w:space="0" w:color="auto"/>
        <w:bottom w:val="none" w:sz="0" w:space="0" w:color="auto"/>
        <w:right w:val="none" w:sz="0" w:space="0" w:color="auto"/>
      </w:divBdr>
    </w:div>
    <w:div w:id="1346252844">
      <w:bodyDiv w:val="1"/>
      <w:marLeft w:val="0"/>
      <w:marRight w:val="0"/>
      <w:marTop w:val="0"/>
      <w:marBottom w:val="0"/>
      <w:divBdr>
        <w:top w:val="none" w:sz="0" w:space="0" w:color="auto"/>
        <w:left w:val="none" w:sz="0" w:space="0" w:color="auto"/>
        <w:bottom w:val="none" w:sz="0" w:space="0" w:color="auto"/>
        <w:right w:val="none" w:sz="0" w:space="0" w:color="auto"/>
      </w:divBdr>
    </w:div>
    <w:div w:id="1480879347">
      <w:bodyDiv w:val="1"/>
      <w:marLeft w:val="0"/>
      <w:marRight w:val="0"/>
      <w:marTop w:val="0"/>
      <w:marBottom w:val="0"/>
      <w:divBdr>
        <w:top w:val="none" w:sz="0" w:space="0" w:color="auto"/>
        <w:left w:val="none" w:sz="0" w:space="0" w:color="auto"/>
        <w:bottom w:val="none" w:sz="0" w:space="0" w:color="auto"/>
        <w:right w:val="none" w:sz="0" w:space="0" w:color="auto"/>
      </w:divBdr>
    </w:div>
    <w:div w:id="1634553134">
      <w:bodyDiv w:val="1"/>
      <w:marLeft w:val="0"/>
      <w:marRight w:val="0"/>
      <w:marTop w:val="0"/>
      <w:marBottom w:val="0"/>
      <w:divBdr>
        <w:top w:val="none" w:sz="0" w:space="0" w:color="auto"/>
        <w:left w:val="none" w:sz="0" w:space="0" w:color="auto"/>
        <w:bottom w:val="none" w:sz="0" w:space="0" w:color="auto"/>
        <w:right w:val="none" w:sz="0" w:space="0" w:color="auto"/>
      </w:divBdr>
    </w:div>
    <w:div w:id="1696613681">
      <w:bodyDiv w:val="1"/>
      <w:marLeft w:val="0"/>
      <w:marRight w:val="0"/>
      <w:marTop w:val="0"/>
      <w:marBottom w:val="0"/>
      <w:divBdr>
        <w:top w:val="none" w:sz="0" w:space="0" w:color="auto"/>
        <w:left w:val="none" w:sz="0" w:space="0" w:color="auto"/>
        <w:bottom w:val="none" w:sz="0" w:space="0" w:color="auto"/>
        <w:right w:val="none" w:sz="0" w:space="0" w:color="auto"/>
      </w:divBdr>
    </w:div>
    <w:div w:id="20835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2apply.net/JB7QZ5SkeRJZfLgEi2nq7" TargetMode="External"/><Relationship Id="rId3" Type="http://schemas.openxmlformats.org/officeDocument/2006/relationships/settings" Target="settings.xml"/><Relationship Id="rId7" Type="http://schemas.openxmlformats.org/officeDocument/2006/relationships/hyperlink" Target="http://www.stockton.edu/affirmative_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ckton.edu/police/crime-statistics.html" TargetMode="External"/><Relationship Id="rId5" Type="http://schemas.openxmlformats.org/officeDocument/2006/relationships/hyperlink" Target="http://www.stock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Clarieson Requiroso</dc:creator>
  <cp:keywords/>
  <dc:description/>
  <cp:lastModifiedBy>Clarieson Requiroso</cp:lastModifiedBy>
  <cp:revision>2</cp:revision>
  <dcterms:created xsi:type="dcterms:W3CDTF">2021-10-05T12:58:00Z</dcterms:created>
  <dcterms:modified xsi:type="dcterms:W3CDTF">2021-10-05T19:40:00Z</dcterms:modified>
</cp:coreProperties>
</file>