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5867F6" w14:paraId="753C0220" w14:textId="77777777">
        <w:tc>
          <w:tcPr>
            <w:tcW w:w="0" w:type="auto"/>
            <w:tcBorders>
              <w:top w:val="nil"/>
              <w:left w:val="nil"/>
              <w:bottom w:val="nil"/>
              <w:right w:val="nil"/>
            </w:tcBorders>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6"/>
              <w:gridCol w:w="448"/>
            </w:tblGrid>
            <w:tr w:rsidR="005867F6" w14:paraId="0826ED61" w14:textId="77777777">
              <w:tc>
                <w:tcPr>
                  <w:tcW w:w="0" w:type="auto"/>
                  <w:tcBorders>
                    <w:top w:val="nil"/>
                    <w:left w:val="nil"/>
                    <w:bottom w:val="nil"/>
                    <w:right w:val="nil"/>
                  </w:tcBorders>
                  <w:vAlign w:val="center"/>
                </w:tcPr>
                <w:p w14:paraId="77109C87" w14:textId="78397DDD" w:rsidR="00A77B3E" w:rsidRDefault="00AE0C05" w:rsidP="000B22E8">
                  <w:pPr>
                    <w:jc w:val="center"/>
                    <w:rPr>
                      <w:b/>
                      <w:color w:val="2F6C94"/>
                      <w:sz w:val="36"/>
                    </w:rPr>
                  </w:pPr>
                  <w:r>
                    <w:rPr>
                      <w:rFonts w:ascii="Calibri" w:eastAsia="Calibri" w:hAnsi="Calibri" w:cs="Calibri"/>
                      <w:b/>
                      <w:color w:val="2F6C94"/>
                      <w:sz w:val="36"/>
                    </w:rPr>
                    <w:t>Forensic Pathologist</w:t>
                  </w:r>
                  <w:r w:rsidR="007F167C">
                    <w:rPr>
                      <w:rFonts w:ascii="Calibri" w:eastAsia="Calibri" w:hAnsi="Calibri" w:cs="Calibri"/>
                      <w:b/>
                      <w:color w:val="2F6C94"/>
                      <w:sz w:val="36"/>
                    </w:rPr>
                    <w:t xml:space="preserve"> – Part Time</w:t>
                  </w:r>
                </w:p>
              </w:tc>
              <w:tc>
                <w:tcPr>
                  <w:tcW w:w="0" w:type="auto"/>
                  <w:tcBorders>
                    <w:top w:val="nil"/>
                    <w:left w:val="nil"/>
                    <w:bottom w:val="nil"/>
                    <w:right w:val="nil"/>
                  </w:tcBorders>
                  <w:vAlign w:val="center"/>
                </w:tcPr>
                <w:p w14:paraId="5351E765" w14:textId="4849E05B" w:rsidR="00A77B3E" w:rsidRDefault="00A77B3E">
                  <w:pPr>
                    <w:jc w:val="right"/>
                    <w:rPr>
                      <w:b/>
                      <w:color w:val="2F6C94"/>
                      <w:sz w:val="36"/>
                    </w:rPr>
                  </w:pPr>
                </w:p>
              </w:tc>
            </w:tr>
          </w:tbl>
          <w:p w14:paraId="586D53FD" w14:textId="77777777" w:rsidR="005867F6" w:rsidRDefault="005867F6"/>
        </w:tc>
      </w:tr>
    </w:tbl>
    <w:p w14:paraId="1A2A7113" w14:textId="77777777" w:rsidR="00A77B3E" w:rsidRDefault="00A77B3E">
      <w:pPr>
        <w:rPr>
          <w:b/>
          <w:color w:val="2F6C94"/>
          <w:sz w:val="0"/>
        </w:rPr>
      </w:pPr>
    </w:p>
    <w:p w14:paraId="6940ABA9" w14:textId="4F296347" w:rsidR="005867F6" w:rsidRDefault="005867F6">
      <w:pPr>
        <w:rPr>
          <w:sz w:val="28"/>
        </w:rPr>
      </w:pPr>
    </w:p>
    <w:p w14:paraId="50F5358D" w14:textId="77777777" w:rsidR="00B626BA" w:rsidRPr="00B626BA" w:rsidRDefault="00B626BA" w:rsidP="00B626BA">
      <w:pPr>
        <w:rPr>
          <w:rFonts w:ascii="Arial" w:hAnsi="Arial" w:cs="Arial"/>
          <w:color w:val="222222"/>
          <w:sz w:val="32"/>
          <w:szCs w:val="32"/>
          <w:shd w:val="clear" w:color="auto" w:fill="FFFFFF"/>
        </w:rPr>
      </w:pPr>
      <w:r w:rsidRPr="00B626BA">
        <w:rPr>
          <w:rFonts w:ascii="Arial" w:hAnsi="Arial" w:cs="Arial"/>
          <w:color w:val="222222"/>
          <w:sz w:val="32"/>
          <w:szCs w:val="32"/>
          <w:shd w:val="clear" w:color="auto" w:fill="FFFFFF"/>
        </w:rPr>
        <w:t>Medical Examiner’s Office</w:t>
      </w:r>
    </w:p>
    <w:p w14:paraId="6A143385" w14:textId="19657F04" w:rsidR="00B626BA" w:rsidRDefault="00B626BA" w:rsidP="00B626BA">
      <w:pPr>
        <w:rPr>
          <w:rFonts w:ascii="Arial" w:hAnsi="Arial" w:cs="Arial"/>
          <w:color w:val="222222"/>
          <w:sz w:val="32"/>
          <w:szCs w:val="32"/>
          <w:shd w:val="clear" w:color="auto" w:fill="FFFFFF"/>
        </w:rPr>
      </w:pPr>
      <w:r w:rsidRPr="00B626BA">
        <w:rPr>
          <w:rFonts w:ascii="Arial" w:hAnsi="Arial" w:cs="Arial"/>
          <w:color w:val="222222"/>
          <w:sz w:val="32"/>
          <w:szCs w:val="32"/>
        </w:rPr>
        <w:t>Mecklenburg County</w:t>
      </w:r>
      <w:r w:rsidRPr="00B626BA">
        <w:rPr>
          <w:rFonts w:ascii="Arial" w:hAnsi="Arial" w:cs="Arial"/>
          <w:color w:val="222222"/>
          <w:sz w:val="32"/>
          <w:szCs w:val="32"/>
        </w:rPr>
        <w:br/>
      </w:r>
      <w:r w:rsidRPr="00B626BA">
        <w:rPr>
          <w:rFonts w:ascii="Arial" w:hAnsi="Arial" w:cs="Arial"/>
          <w:color w:val="222222"/>
          <w:sz w:val="32"/>
          <w:szCs w:val="32"/>
          <w:shd w:val="clear" w:color="auto" w:fill="FFFFFF"/>
        </w:rPr>
        <w:t>3440 Reno Avenue</w:t>
      </w:r>
      <w:r w:rsidRPr="00B626BA">
        <w:rPr>
          <w:rFonts w:ascii="Arial" w:hAnsi="Arial" w:cs="Arial"/>
          <w:color w:val="222222"/>
          <w:sz w:val="32"/>
          <w:szCs w:val="32"/>
        </w:rPr>
        <w:br/>
      </w:r>
      <w:r w:rsidRPr="00B626BA">
        <w:rPr>
          <w:rFonts w:ascii="Arial" w:hAnsi="Arial" w:cs="Arial"/>
          <w:color w:val="222222"/>
          <w:sz w:val="32"/>
          <w:szCs w:val="32"/>
          <w:shd w:val="clear" w:color="auto" w:fill="FFFFFF"/>
        </w:rPr>
        <w:t>Charlotte, NC 28216</w:t>
      </w:r>
    </w:p>
    <w:p w14:paraId="65C66A02" w14:textId="07DDC72D" w:rsidR="00B626BA" w:rsidRDefault="00B626BA" w:rsidP="00B626BA">
      <w:pPr>
        <w:rPr>
          <w:rFonts w:ascii="Arial" w:hAnsi="Arial" w:cs="Arial"/>
          <w:color w:val="222222"/>
          <w:sz w:val="32"/>
          <w:szCs w:val="32"/>
          <w:shd w:val="clear" w:color="auto" w:fill="FFFFFF"/>
        </w:rPr>
      </w:pPr>
    </w:p>
    <w:p w14:paraId="01D274F0" w14:textId="693E439D" w:rsidR="000B22E8" w:rsidRDefault="00B626BA">
      <w:pPr>
        <w:rPr>
          <w:rFonts w:ascii="Arial" w:hAnsi="Arial" w:cs="Arial"/>
          <w:color w:val="222222"/>
          <w:sz w:val="32"/>
          <w:szCs w:val="32"/>
          <w:shd w:val="clear" w:color="auto" w:fill="FFFFFF"/>
        </w:rPr>
      </w:pPr>
      <w:r>
        <w:rPr>
          <w:rFonts w:ascii="Arial" w:hAnsi="Arial" w:cs="Arial"/>
          <w:color w:val="222222"/>
          <w:sz w:val="32"/>
          <w:szCs w:val="32"/>
          <w:shd w:val="clear" w:color="auto" w:fill="FFFFFF"/>
        </w:rPr>
        <w:t>Starting date: as soon as January 12</w:t>
      </w:r>
      <w:r w:rsidRPr="00B626BA">
        <w:rPr>
          <w:rFonts w:ascii="Arial" w:hAnsi="Arial" w:cs="Arial"/>
          <w:color w:val="222222"/>
          <w:sz w:val="32"/>
          <w:szCs w:val="32"/>
          <w:shd w:val="clear" w:color="auto" w:fill="FFFFFF"/>
          <w:vertAlign w:val="superscript"/>
        </w:rPr>
        <w:t>th</w:t>
      </w:r>
      <w:r>
        <w:rPr>
          <w:rFonts w:ascii="Arial" w:hAnsi="Arial" w:cs="Arial"/>
          <w:color w:val="222222"/>
          <w:sz w:val="32"/>
          <w:szCs w:val="32"/>
          <w:shd w:val="clear" w:color="auto" w:fill="FFFFFF"/>
        </w:rPr>
        <w:t>, 2022</w:t>
      </w:r>
      <w:r w:rsidR="00FE25F9">
        <w:rPr>
          <w:rFonts w:ascii="Arial" w:hAnsi="Arial" w:cs="Arial"/>
          <w:color w:val="222222"/>
          <w:sz w:val="32"/>
          <w:szCs w:val="32"/>
          <w:shd w:val="clear" w:color="auto" w:fill="FFFFFF"/>
        </w:rPr>
        <w:t>.  Open until filled.</w:t>
      </w:r>
    </w:p>
    <w:p w14:paraId="3A68D4C4" w14:textId="62B72CA2" w:rsidR="00D12CA0" w:rsidRDefault="00D12CA0">
      <w:pPr>
        <w:rPr>
          <w:rFonts w:ascii="Arial" w:hAnsi="Arial" w:cs="Arial"/>
          <w:color w:val="222222"/>
          <w:sz w:val="32"/>
          <w:szCs w:val="32"/>
          <w:shd w:val="clear" w:color="auto" w:fill="FFFFFF"/>
        </w:rPr>
      </w:pPr>
    </w:p>
    <w:p w14:paraId="28381CFE" w14:textId="67E45B2C" w:rsidR="00D12CA0" w:rsidRDefault="00D12CA0">
      <w:pPr>
        <w:rPr>
          <w:sz w:val="28"/>
        </w:rPr>
      </w:pPr>
      <w:r>
        <w:rPr>
          <w:rFonts w:ascii="Arial" w:hAnsi="Arial" w:cs="Arial"/>
          <w:color w:val="222222"/>
          <w:sz w:val="32"/>
          <w:szCs w:val="32"/>
          <w:shd w:val="clear" w:color="auto" w:fill="FFFFFF"/>
        </w:rPr>
        <w:t xml:space="preserve">Apply here: </w:t>
      </w:r>
      <w:hyperlink r:id="rId10" w:history="1">
        <w:r w:rsidR="00D2188B" w:rsidRPr="00A0685E">
          <w:rPr>
            <w:rStyle w:val="Hyperlink"/>
            <w:rFonts w:ascii="Arial" w:hAnsi="Arial" w:cs="Arial"/>
            <w:sz w:val="32"/>
            <w:szCs w:val="32"/>
            <w:shd w:val="clear" w:color="auto" w:fill="FFFFFF"/>
          </w:rPr>
          <w:t>https://meckcounty.csod.com/ux/ats/careersite/1/home/requisition/2776?c=meckcounty</w:t>
        </w:r>
      </w:hyperlink>
      <w:r w:rsidR="00D2188B">
        <w:rPr>
          <w:rFonts w:ascii="Arial" w:hAnsi="Arial" w:cs="Arial"/>
          <w:color w:val="222222"/>
          <w:sz w:val="32"/>
          <w:szCs w:val="32"/>
          <w:shd w:val="clear" w:color="auto" w:fill="FFFFFF"/>
        </w:rPr>
        <w:t xml:space="preserve"> </w:t>
      </w:r>
    </w:p>
    <w:p w14:paraId="32CF1A79" w14:textId="77777777" w:rsidR="000B22E8" w:rsidRDefault="000B22E8">
      <w:pPr>
        <w:rPr>
          <w:sz w:val="28"/>
        </w:rPr>
      </w:pPr>
    </w:p>
    <w:tbl>
      <w:tblPr>
        <w:tblW w:w="5000" w:type="pc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Look w:val="04A0" w:firstRow="1" w:lastRow="0" w:firstColumn="1" w:lastColumn="0" w:noHBand="0" w:noVBand="1"/>
      </w:tblPr>
      <w:tblGrid>
        <w:gridCol w:w="10780"/>
      </w:tblGrid>
      <w:tr w:rsidR="007F167C" w:rsidRPr="000242EB" w14:paraId="02B2252F" w14:textId="77777777" w:rsidTr="00640490">
        <w:tc>
          <w:tcPr>
            <w:tcW w:w="0" w:type="auto"/>
            <w:shd w:val="solid" w:color="F0F1F1" w:fill="F0F1F1"/>
            <w:tcMar>
              <w:top w:w="140" w:type="dxa"/>
              <w:left w:w="100" w:type="dxa"/>
              <w:bottom w:w="140" w:type="dxa"/>
              <w:right w:w="100" w:type="dxa"/>
            </w:tcMar>
          </w:tcPr>
          <w:p w14:paraId="037D8DB6" w14:textId="6A8C4F8F" w:rsidR="007F167C" w:rsidRPr="000242EB" w:rsidRDefault="007F167C" w:rsidP="00640490">
            <w:pPr>
              <w:rPr>
                <w:rFonts w:ascii="Arial" w:hAnsi="Arial" w:cs="Arial"/>
              </w:rPr>
            </w:pPr>
            <w:r w:rsidRPr="000242EB">
              <w:rPr>
                <w:rFonts w:ascii="Arial" w:eastAsia="Calibri" w:hAnsi="Arial" w:cs="Arial"/>
                <w:b/>
                <w:bCs/>
                <w:color w:val="2F6C94"/>
              </w:rPr>
              <w:t>Pay Information</w:t>
            </w:r>
          </w:p>
        </w:tc>
      </w:tr>
      <w:tr w:rsidR="007F167C" w:rsidRPr="000242EB" w14:paraId="43AE8EF0" w14:textId="77777777" w:rsidTr="00640490">
        <w:tc>
          <w:tcPr>
            <w:tcW w:w="0" w:type="auto"/>
            <w:tcMar>
              <w:top w:w="200" w:type="dxa"/>
              <w:left w:w="160" w:type="dxa"/>
              <w:bottom w:w="200" w:type="dxa"/>
              <w:right w:w="160" w:type="dxa"/>
            </w:tcMar>
          </w:tcPr>
          <w:tbl>
            <w:tblPr>
              <w:tblW w:w="5000" w:type="pct"/>
              <w:tblBorders>
                <w:top w:val="nil"/>
                <w:left w:val="nil"/>
                <w:bottom w:val="nil"/>
                <w:right w:val="nil"/>
                <w:insideH w:val="nil"/>
                <w:insideV w:val="nil"/>
              </w:tblBorders>
              <w:tblLook w:val="04A0" w:firstRow="1" w:lastRow="0" w:firstColumn="1" w:lastColumn="0" w:noHBand="0" w:noVBand="1"/>
            </w:tblPr>
            <w:tblGrid>
              <w:gridCol w:w="10460"/>
            </w:tblGrid>
            <w:tr w:rsidR="007F167C" w:rsidRPr="000242EB" w14:paraId="46264A10" w14:textId="77777777" w:rsidTr="00640490">
              <w:tc>
                <w:tcPr>
                  <w:tcW w:w="0" w:type="auto"/>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4"/>
                  </w:tblGrid>
                  <w:tr w:rsidR="007F167C" w:rsidRPr="000242EB" w14:paraId="1F4473CB" w14:textId="77777777" w:rsidTr="00640490">
                    <w:tc>
                      <w:tcPr>
                        <w:tcW w:w="5000" w:type="pct"/>
                        <w:tcBorders>
                          <w:top w:val="nil"/>
                          <w:left w:val="nil"/>
                          <w:bottom w:val="nil"/>
                          <w:right w:val="nil"/>
                        </w:tcBorders>
                      </w:tcPr>
                      <w:p w14:paraId="2CB3DE6A" w14:textId="3617B067" w:rsidR="00822BDD" w:rsidRPr="001147E7" w:rsidRDefault="00822BDD" w:rsidP="00822BDD">
                        <w:pPr>
                          <w:rPr>
                            <w:rFonts w:ascii="Arial" w:hAnsi="Arial" w:cs="Arial"/>
                          </w:rPr>
                        </w:pPr>
                        <w:r w:rsidRPr="001147E7">
                          <w:rPr>
                            <w:rFonts w:ascii="Arial" w:hAnsi="Arial" w:cs="Arial"/>
                            <w:b/>
                            <w:bCs/>
                          </w:rPr>
                          <w:t>Salary Range</w:t>
                        </w:r>
                        <w:r w:rsidRPr="001147E7">
                          <w:rPr>
                            <w:rFonts w:ascii="Arial" w:hAnsi="Arial" w:cs="Arial"/>
                          </w:rPr>
                          <w:t xml:space="preserve">: </w:t>
                        </w:r>
                        <w:r w:rsidR="007152D5">
                          <w:rPr>
                            <w:rFonts w:ascii="Arial" w:hAnsi="Arial" w:cs="Arial"/>
                          </w:rPr>
                          <w:t>$</w:t>
                        </w:r>
                        <w:r w:rsidR="00D96021">
                          <w:rPr>
                            <w:rFonts w:ascii="Arial" w:hAnsi="Arial" w:cs="Arial"/>
                          </w:rPr>
                          <w:t>93.32</w:t>
                        </w:r>
                        <w:r w:rsidR="007152D5">
                          <w:rPr>
                            <w:rFonts w:ascii="Arial" w:hAnsi="Arial" w:cs="Arial"/>
                          </w:rPr>
                          <w:t xml:space="preserve"> to $</w:t>
                        </w:r>
                        <w:r w:rsidR="0006524F">
                          <w:rPr>
                            <w:rFonts w:ascii="Arial" w:hAnsi="Arial" w:cs="Arial"/>
                          </w:rPr>
                          <w:t>111.99</w:t>
                        </w:r>
                        <w:r w:rsidR="007152D5">
                          <w:rPr>
                            <w:rFonts w:ascii="Arial" w:hAnsi="Arial" w:cs="Arial"/>
                          </w:rPr>
                          <w:t xml:space="preserve"> per hour.  </w:t>
                        </w:r>
                        <w:r w:rsidRPr="001147E7">
                          <w:rPr>
                            <w:rFonts w:ascii="Arial" w:hAnsi="Arial" w:cs="Arial"/>
                          </w:rPr>
                          <w:t>This is a non-exempt (hourly) position</w:t>
                        </w:r>
                        <w:r>
                          <w:rPr>
                            <w:rFonts w:ascii="Arial" w:hAnsi="Arial" w:cs="Arial"/>
                          </w:rPr>
                          <w:t>.</w:t>
                        </w:r>
                      </w:p>
                      <w:p w14:paraId="3DEDE960" w14:textId="13A2542B" w:rsidR="00822BDD" w:rsidRPr="001147E7" w:rsidRDefault="00822BDD" w:rsidP="00822BDD">
                        <w:pPr>
                          <w:rPr>
                            <w:rFonts w:ascii="Arial" w:hAnsi="Arial" w:cs="Arial"/>
                          </w:rPr>
                        </w:pPr>
                      </w:p>
                      <w:p w14:paraId="07493A0B" w14:textId="462FCC3A" w:rsidR="007F167C" w:rsidRPr="000242EB" w:rsidRDefault="00822BDD" w:rsidP="00822BDD">
                        <w:pPr>
                          <w:rPr>
                            <w:rFonts w:ascii="Arial" w:hAnsi="Arial" w:cs="Arial"/>
                          </w:rPr>
                        </w:pPr>
                        <w:r w:rsidRPr="001147E7">
                          <w:rPr>
                            <w:rFonts w:ascii="Arial" w:hAnsi="Arial" w:cs="Arial"/>
                            <w:i/>
                            <w:iCs/>
                          </w:rPr>
                          <w:t>Pay rates are based on education, skill, experience level and internal equity. Internal equity considerations include an assessment of the applicant’s salary history and qualifications in comparison to the market rate and requirements for the job.</w:t>
                        </w:r>
                      </w:p>
                    </w:tc>
                  </w:tr>
                </w:tbl>
                <w:p w14:paraId="201AFB45" w14:textId="77777777" w:rsidR="007F167C" w:rsidRPr="000242EB" w:rsidRDefault="007F167C" w:rsidP="00640490">
                  <w:pPr>
                    <w:rPr>
                      <w:rFonts w:ascii="Arial" w:hAnsi="Arial" w:cs="Arial"/>
                    </w:rPr>
                  </w:pPr>
                </w:p>
              </w:tc>
            </w:tr>
          </w:tbl>
          <w:p w14:paraId="45F42EA7" w14:textId="77777777" w:rsidR="007F167C" w:rsidRPr="000242EB" w:rsidRDefault="007F167C" w:rsidP="00640490">
            <w:pPr>
              <w:rPr>
                <w:rFonts w:ascii="Arial" w:hAnsi="Arial" w:cs="Arial"/>
              </w:rPr>
            </w:pPr>
          </w:p>
        </w:tc>
      </w:tr>
    </w:tbl>
    <w:p w14:paraId="538F56FC" w14:textId="77777777" w:rsidR="007152D5" w:rsidRPr="000242EB" w:rsidRDefault="007152D5">
      <w:pPr>
        <w:rPr>
          <w:rFonts w:ascii="Arial" w:hAnsi="Arial" w:cs="Arial"/>
        </w:rPr>
      </w:pPr>
    </w:p>
    <w:tbl>
      <w:tblPr>
        <w:tblW w:w="5000" w:type="pc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Look w:val="04A0" w:firstRow="1" w:lastRow="0" w:firstColumn="1" w:lastColumn="0" w:noHBand="0" w:noVBand="1"/>
      </w:tblPr>
      <w:tblGrid>
        <w:gridCol w:w="10780"/>
      </w:tblGrid>
      <w:tr w:rsidR="007F167C" w:rsidRPr="000242EB" w14:paraId="44368490" w14:textId="77777777" w:rsidTr="00640490">
        <w:tc>
          <w:tcPr>
            <w:tcW w:w="0" w:type="auto"/>
            <w:shd w:val="solid" w:color="F0F1F1" w:fill="F0F1F1"/>
            <w:tcMar>
              <w:top w:w="140" w:type="dxa"/>
              <w:left w:w="100" w:type="dxa"/>
              <w:bottom w:w="140" w:type="dxa"/>
              <w:right w:w="100" w:type="dxa"/>
            </w:tcMar>
          </w:tcPr>
          <w:p w14:paraId="663617A8" w14:textId="1680ABA6" w:rsidR="007F167C" w:rsidRPr="00DA0E6C" w:rsidRDefault="007F167C" w:rsidP="00640490">
            <w:pPr>
              <w:rPr>
                <w:rFonts w:ascii="Arial" w:hAnsi="Arial" w:cs="Arial"/>
              </w:rPr>
            </w:pPr>
            <w:r w:rsidRPr="00DA0E6C">
              <w:rPr>
                <w:rFonts w:ascii="Arial" w:eastAsia="Calibri" w:hAnsi="Arial" w:cs="Arial"/>
                <w:b/>
                <w:bCs/>
                <w:color w:val="2F6C94"/>
              </w:rPr>
              <w:t>Position Specific Information</w:t>
            </w:r>
          </w:p>
        </w:tc>
      </w:tr>
      <w:tr w:rsidR="007F167C" w:rsidRPr="000242EB" w14:paraId="2C0A4E8A" w14:textId="77777777" w:rsidTr="00640490">
        <w:tc>
          <w:tcPr>
            <w:tcW w:w="0" w:type="auto"/>
            <w:tcMar>
              <w:top w:w="200" w:type="dxa"/>
              <w:left w:w="160" w:type="dxa"/>
              <w:bottom w:w="200" w:type="dxa"/>
              <w:right w:w="160" w:type="dxa"/>
            </w:tcMar>
          </w:tcPr>
          <w:tbl>
            <w:tblPr>
              <w:tblW w:w="5000" w:type="pct"/>
              <w:tblBorders>
                <w:top w:val="nil"/>
                <w:left w:val="nil"/>
                <w:bottom w:val="nil"/>
                <w:right w:val="nil"/>
                <w:insideH w:val="nil"/>
                <w:insideV w:val="nil"/>
              </w:tblBorders>
              <w:tblLook w:val="04A0" w:firstRow="1" w:lastRow="0" w:firstColumn="1" w:lastColumn="0" w:noHBand="0" w:noVBand="1"/>
            </w:tblPr>
            <w:tblGrid>
              <w:gridCol w:w="10460"/>
            </w:tblGrid>
            <w:tr w:rsidR="007F167C" w:rsidRPr="00DA0E6C" w14:paraId="4260729A" w14:textId="77777777" w:rsidTr="00640490">
              <w:tc>
                <w:tcPr>
                  <w:tcW w:w="0" w:type="auto"/>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4"/>
                  </w:tblGrid>
                  <w:tr w:rsidR="007F167C" w:rsidRPr="00DA0E6C" w14:paraId="5C838B57" w14:textId="77777777" w:rsidTr="00640490">
                    <w:tc>
                      <w:tcPr>
                        <w:tcW w:w="5000" w:type="pct"/>
                        <w:tcBorders>
                          <w:top w:val="nil"/>
                          <w:left w:val="nil"/>
                          <w:bottom w:val="nil"/>
                          <w:right w:val="nil"/>
                        </w:tcBorders>
                      </w:tcPr>
                      <w:p w14:paraId="6B291C7F" w14:textId="5E8116A0" w:rsidR="000242EB" w:rsidRPr="00DA0E6C" w:rsidRDefault="000242EB" w:rsidP="00C66056">
                        <w:pPr>
                          <w:rPr>
                            <w:rFonts w:ascii="Arial" w:hAnsi="Arial" w:cs="Arial"/>
                            <w:color w:val="4D4D4D"/>
                            <w:shd w:val="clear" w:color="auto" w:fill="FFFFFF"/>
                          </w:rPr>
                        </w:pPr>
                        <w:r w:rsidRPr="00DA0E6C">
                          <w:rPr>
                            <w:rFonts w:ascii="Arial" w:hAnsi="Arial" w:cs="Arial"/>
                            <w:color w:val="4D4D4D"/>
                            <w:shd w:val="clear" w:color="auto" w:fill="FFFFFF"/>
                          </w:rPr>
                          <w:t>The Mecklenburg County Medical Examiner's Office (MCMEO) mission is to provide county morgue and medical examiner/forensic pathology services to the citizens of Mecklenburg County</w:t>
                        </w:r>
                        <w:r w:rsidR="00C66056" w:rsidRPr="00DA0E6C">
                          <w:rPr>
                            <w:rFonts w:ascii="Arial" w:hAnsi="Arial" w:cs="Arial"/>
                            <w:color w:val="4D4D4D"/>
                            <w:shd w:val="clear" w:color="auto" w:fill="FFFFFF"/>
                          </w:rPr>
                          <w:t xml:space="preserve"> and regional counties under contract with the State of NC.</w:t>
                        </w:r>
                      </w:p>
                      <w:p w14:paraId="194DE2D3" w14:textId="5C03854D" w:rsidR="00C66056" w:rsidRPr="00DA0E6C" w:rsidRDefault="00C66056" w:rsidP="00C66056">
                        <w:pPr>
                          <w:rPr>
                            <w:rFonts w:ascii="Arial" w:hAnsi="Arial" w:cs="Arial"/>
                          </w:rPr>
                        </w:pPr>
                      </w:p>
                      <w:p w14:paraId="4F8E2164" w14:textId="167AADD3" w:rsidR="00C66056" w:rsidRPr="00DA0E6C" w:rsidRDefault="00C66056" w:rsidP="00C66056">
                        <w:pPr>
                          <w:rPr>
                            <w:rFonts w:ascii="Arial" w:hAnsi="Arial" w:cs="Arial"/>
                          </w:rPr>
                        </w:pPr>
                        <w:r w:rsidRPr="00DA0E6C">
                          <w:rPr>
                            <w:rFonts w:ascii="Arial" w:hAnsi="Arial" w:cs="Arial"/>
                          </w:rPr>
                          <w:t>MCMEO is seeking a Forensic Pathologist to join the Mecklenburg County ME Office in Charlotte, NC working along-side 3 full-time FPs in a modern facility.  This is a part-time hourly position that will entail a minimum of 70 and a maximum of 83 h</w:t>
                        </w:r>
                        <w:r w:rsidR="009F3547">
                          <w:rPr>
                            <w:rFonts w:ascii="Arial" w:hAnsi="Arial" w:cs="Arial"/>
                          </w:rPr>
                          <w:t>ours</w:t>
                        </w:r>
                        <w:r w:rsidRPr="00DA0E6C">
                          <w:rPr>
                            <w:rFonts w:ascii="Arial" w:hAnsi="Arial" w:cs="Arial"/>
                          </w:rPr>
                          <w:t xml:space="preserve"> per month.  The position requires rotating with the other 3 FPs to cover every 4</w:t>
                        </w:r>
                        <w:r w:rsidRPr="00DA0E6C">
                          <w:rPr>
                            <w:rFonts w:ascii="Arial" w:hAnsi="Arial" w:cs="Arial"/>
                            <w:vertAlign w:val="superscript"/>
                          </w:rPr>
                          <w:t>th</w:t>
                        </w:r>
                        <w:r w:rsidRPr="00DA0E6C">
                          <w:rPr>
                            <w:rFonts w:ascii="Arial" w:hAnsi="Arial" w:cs="Arial"/>
                          </w:rPr>
                          <w:t xml:space="preserve"> Saturday with approximately 4-5 on call days per month.  No exams are performed on Sundays.  The office annually performs between 700-750 autopsies and approximately the same number of external exams.  The office is staffed with 24/7 coverage by ABMDI-certified investigators.  3 fulltime and 1 parttime forensic autopsy technicians assist with exams/autopsies, digital photography, and LODOX imaging of bodies as well as other support for the pathologists.    </w:t>
                        </w:r>
                      </w:p>
                      <w:p w14:paraId="3F917431" w14:textId="4A23605B" w:rsidR="00C66056" w:rsidRPr="00DA0E6C" w:rsidRDefault="00C66056" w:rsidP="00C66056">
                        <w:pPr>
                          <w:rPr>
                            <w:rFonts w:ascii="Arial" w:hAnsi="Arial" w:cs="Arial"/>
                          </w:rPr>
                        </w:pPr>
                      </w:p>
                      <w:p w14:paraId="4A3453C2" w14:textId="407FACEC" w:rsidR="00C66056" w:rsidRPr="00DA0E6C" w:rsidRDefault="00C66056" w:rsidP="00C66056">
                        <w:pPr>
                          <w:rPr>
                            <w:rFonts w:ascii="Arial" w:hAnsi="Arial" w:cs="Arial"/>
                          </w:rPr>
                        </w:pPr>
                        <w:r w:rsidRPr="00DA0E6C">
                          <w:rPr>
                            <w:rFonts w:ascii="Arial" w:hAnsi="Arial" w:cs="Arial"/>
                          </w:rPr>
                          <w:t>Come join us in the Queen City with all that Charlotte and Mecklenburg County have to offer</w:t>
                        </w:r>
                        <w:r w:rsidR="00E202CA">
                          <w:rPr>
                            <w:rFonts w:ascii="Arial" w:hAnsi="Arial" w:cs="Arial"/>
                          </w:rPr>
                          <w:t>!!</w:t>
                        </w:r>
                      </w:p>
                      <w:p w14:paraId="4A3B1EDC" w14:textId="77777777" w:rsidR="00C66056" w:rsidRPr="00DA0E6C" w:rsidRDefault="00C66056" w:rsidP="00C66056">
                        <w:pPr>
                          <w:rPr>
                            <w:rFonts w:ascii="Arial" w:hAnsi="Arial" w:cs="Arial"/>
                          </w:rPr>
                        </w:pPr>
                      </w:p>
                      <w:p w14:paraId="1E1371EF" w14:textId="77777777" w:rsidR="00A57B6B" w:rsidRDefault="00C66056" w:rsidP="00DA0E6C">
                        <w:pPr>
                          <w:rPr>
                            <w:rFonts w:ascii="Arial" w:hAnsi="Arial" w:cs="Arial"/>
                          </w:rPr>
                        </w:pPr>
                        <w:r w:rsidRPr="00DA0E6C">
                          <w:rPr>
                            <w:rFonts w:ascii="Arial" w:hAnsi="Arial" w:cs="Arial"/>
                          </w:rPr>
                          <w:t>For further details/questions, you may contact Chief FP/department director</w:t>
                        </w:r>
                      </w:p>
                      <w:p w14:paraId="7B2E9624" w14:textId="77777777" w:rsidR="007F167C" w:rsidRDefault="00C66056" w:rsidP="00DA0E6C">
                        <w:pPr>
                          <w:rPr>
                            <w:rFonts w:ascii="Arial" w:hAnsi="Arial" w:cs="Arial"/>
                          </w:rPr>
                        </w:pPr>
                        <w:r w:rsidRPr="00DA0E6C">
                          <w:rPr>
                            <w:rFonts w:ascii="Arial" w:hAnsi="Arial" w:cs="Arial"/>
                          </w:rPr>
                          <w:lastRenderedPageBreak/>
                          <w:t xml:space="preserve">Dr. Thomas Owens at the office 980-314-1800 (option 5), by cell 704-315-7896, or Thomas.Owens@mecklenburgcountync.gov. </w:t>
                        </w:r>
                      </w:p>
                      <w:p w14:paraId="7A885DCD" w14:textId="527204CA" w:rsidR="002E36B7" w:rsidRPr="00DA0E6C" w:rsidRDefault="002E36B7" w:rsidP="00DA0E6C">
                        <w:pPr>
                          <w:rPr>
                            <w:rFonts w:ascii="Arial" w:hAnsi="Arial" w:cs="Arial"/>
                          </w:rPr>
                        </w:pPr>
                      </w:p>
                    </w:tc>
                  </w:tr>
                </w:tbl>
                <w:p w14:paraId="3D856AD6" w14:textId="77777777" w:rsidR="007F167C" w:rsidRPr="00DA0E6C" w:rsidRDefault="007F167C" w:rsidP="00640490">
                  <w:pPr>
                    <w:rPr>
                      <w:rFonts w:ascii="Arial" w:hAnsi="Arial" w:cs="Arial"/>
                    </w:rPr>
                  </w:pPr>
                </w:p>
              </w:tc>
            </w:tr>
          </w:tbl>
          <w:p w14:paraId="09195624" w14:textId="77777777" w:rsidR="007F167C" w:rsidRPr="00DA0E6C" w:rsidRDefault="007F167C" w:rsidP="00640490">
            <w:pPr>
              <w:rPr>
                <w:rFonts w:ascii="Arial" w:hAnsi="Arial" w:cs="Arial"/>
              </w:rPr>
            </w:pPr>
          </w:p>
        </w:tc>
      </w:tr>
    </w:tbl>
    <w:p w14:paraId="5D6589D0" w14:textId="6BA3B87F" w:rsidR="007F167C" w:rsidRDefault="007F167C">
      <w:pPr>
        <w:rPr>
          <w:rFonts w:ascii="Arial" w:hAnsi="Arial" w:cs="Arial"/>
        </w:rPr>
      </w:pPr>
    </w:p>
    <w:tbl>
      <w:tblPr>
        <w:tblW w:w="5000" w:type="pc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Look w:val="04A0" w:firstRow="1" w:lastRow="0" w:firstColumn="1" w:lastColumn="0" w:noHBand="0" w:noVBand="1"/>
      </w:tblPr>
      <w:tblGrid>
        <w:gridCol w:w="10780"/>
      </w:tblGrid>
      <w:tr w:rsidR="005867F6" w:rsidRPr="000242EB" w14:paraId="25AAE31E" w14:textId="77777777">
        <w:tc>
          <w:tcPr>
            <w:tcW w:w="0" w:type="auto"/>
            <w:shd w:val="solid" w:color="F0F1F1" w:fill="F0F1F1"/>
            <w:tcMar>
              <w:top w:w="140" w:type="dxa"/>
              <w:left w:w="100" w:type="dxa"/>
              <w:bottom w:w="140" w:type="dxa"/>
              <w:right w:w="100" w:type="dxa"/>
            </w:tcMar>
          </w:tcPr>
          <w:p w14:paraId="0A1368DF" w14:textId="77777777" w:rsidR="005867F6" w:rsidRPr="000242EB" w:rsidRDefault="00AE0C05">
            <w:pPr>
              <w:rPr>
                <w:rFonts w:ascii="Arial" w:hAnsi="Arial" w:cs="Arial"/>
              </w:rPr>
            </w:pPr>
            <w:r w:rsidRPr="000242EB">
              <w:rPr>
                <w:rFonts w:ascii="Arial" w:eastAsia="Calibri" w:hAnsi="Arial" w:cs="Arial"/>
                <w:b/>
                <w:bCs/>
                <w:color w:val="2F6C94"/>
              </w:rPr>
              <w:t>Essential Functions</w:t>
            </w:r>
          </w:p>
        </w:tc>
      </w:tr>
      <w:tr w:rsidR="005867F6" w:rsidRPr="000242EB" w14:paraId="116FB4E1" w14:textId="77777777">
        <w:tc>
          <w:tcPr>
            <w:tcW w:w="0" w:type="auto"/>
            <w:tcMar>
              <w:top w:w="200" w:type="dxa"/>
              <w:left w:w="160" w:type="dxa"/>
              <w:bottom w:w="200" w:type="dxa"/>
              <w:right w:w="160" w:type="dxa"/>
            </w:tcMar>
          </w:tcPr>
          <w:tbl>
            <w:tblPr>
              <w:tblW w:w="5000" w:type="pct"/>
              <w:tblBorders>
                <w:top w:val="nil"/>
                <w:left w:val="nil"/>
                <w:bottom w:val="nil"/>
                <w:right w:val="nil"/>
                <w:insideH w:val="nil"/>
                <w:insideV w:val="nil"/>
              </w:tblBorders>
              <w:tblLook w:val="04A0" w:firstRow="1" w:lastRow="0" w:firstColumn="1" w:lastColumn="0" w:noHBand="0" w:noVBand="1"/>
            </w:tblPr>
            <w:tblGrid>
              <w:gridCol w:w="10460"/>
            </w:tblGrid>
            <w:tr w:rsidR="005867F6" w:rsidRPr="000242EB" w14:paraId="04435765" w14:textId="77777777">
              <w:tc>
                <w:tcPr>
                  <w:tcW w:w="0" w:type="auto"/>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4"/>
                  </w:tblGrid>
                  <w:tr w:rsidR="005867F6" w:rsidRPr="000242EB" w14:paraId="1B1030F1" w14:textId="77777777">
                    <w:tc>
                      <w:tcPr>
                        <w:tcW w:w="5000" w:type="pct"/>
                        <w:tcBorders>
                          <w:top w:val="nil"/>
                          <w:left w:val="nil"/>
                          <w:bottom w:val="nil"/>
                          <w:right w:val="nil"/>
                        </w:tcBorders>
                      </w:tcPr>
                      <w:p w14:paraId="27D7C0E7" w14:textId="77777777" w:rsidR="005867F6" w:rsidRPr="000242EB" w:rsidRDefault="00AE0C05">
                        <w:pPr>
                          <w:rPr>
                            <w:rFonts w:ascii="Arial" w:hAnsi="Arial" w:cs="Arial"/>
                          </w:rPr>
                        </w:pPr>
                        <w:r w:rsidRPr="000242EB">
                          <w:rPr>
                            <w:rFonts w:ascii="Arial" w:eastAsia="Calibri" w:hAnsi="Arial" w:cs="Arial"/>
                          </w:rPr>
                          <w:t>• Perform autopsies and physical examination to determine the cause and manner of death</w:t>
                        </w:r>
                      </w:p>
                    </w:tc>
                  </w:tr>
                  <w:tr w:rsidR="005867F6" w:rsidRPr="000242EB" w14:paraId="3F70EA25" w14:textId="77777777">
                    <w:tc>
                      <w:tcPr>
                        <w:tcW w:w="5000" w:type="pct"/>
                        <w:tcBorders>
                          <w:top w:val="nil"/>
                          <w:left w:val="nil"/>
                          <w:bottom w:val="nil"/>
                          <w:right w:val="nil"/>
                        </w:tcBorders>
                      </w:tcPr>
                      <w:p w14:paraId="57324AEA" w14:textId="77777777" w:rsidR="005867F6" w:rsidRPr="000242EB" w:rsidRDefault="00AE0C05">
                        <w:pPr>
                          <w:rPr>
                            <w:rFonts w:ascii="Arial" w:hAnsi="Arial" w:cs="Arial"/>
                          </w:rPr>
                        </w:pPr>
                        <w:r w:rsidRPr="000242EB">
                          <w:rPr>
                            <w:rFonts w:ascii="Arial" w:eastAsia="Calibri" w:hAnsi="Arial" w:cs="Arial"/>
                          </w:rPr>
                          <w:t>• Prepare clear, concise narrative descriptions of autopsy findings</w:t>
                        </w:r>
                      </w:p>
                    </w:tc>
                  </w:tr>
                  <w:tr w:rsidR="005867F6" w:rsidRPr="000242EB" w14:paraId="6D145380" w14:textId="77777777">
                    <w:tc>
                      <w:tcPr>
                        <w:tcW w:w="5000" w:type="pct"/>
                        <w:tcBorders>
                          <w:top w:val="nil"/>
                          <w:left w:val="nil"/>
                          <w:bottom w:val="nil"/>
                          <w:right w:val="nil"/>
                        </w:tcBorders>
                      </w:tcPr>
                      <w:p w14:paraId="69D35FEF" w14:textId="77777777" w:rsidR="005867F6" w:rsidRPr="000242EB" w:rsidRDefault="00AE0C05">
                        <w:pPr>
                          <w:rPr>
                            <w:rFonts w:ascii="Arial" w:hAnsi="Arial" w:cs="Arial"/>
                          </w:rPr>
                        </w:pPr>
                        <w:r w:rsidRPr="000242EB">
                          <w:rPr>
                            <w:rFonts w:ascii="Arial" w:eastAsia="Calibri" w:hAnsi="Arial" w:cs="Arial"/>
                          </w:rPr>
                          <w:t>• Maintain Medical Examiner records and establish policies for the documentation of the chain of custody for decedents’ person effects, evidence and human remains</w:t>
                        </w:r>
                      </w:p>
                    </w:tc>
                  </w:tr>
                  <w:tr w:rsidR="005867F6" w:rsidRPr="000242EB" w14:paraId="4D1FCC36" w14:textId="77777777">
                    <w:tc>
                      <w:tcPr>
                        <w:tcW w:w="5000" w:type="pct"/>
                        <w:tcBorders>
                          <w:top w:val="nil"/>
                          <w:left w:val="nil"/>
                          <w:bottom w:val="nil"/>
                          <w:right w:val="nil"/>
                        </w:tcBorders>
                      </w:tcPr>
                      <w:p w14:paraId="3FD4431F" w14:textId="77777777" w:rsidR="005867F6" w:rsidRPr="000242EB" w:rsidRDefault="00AE0C05">
                        <w:pPr>
                          <w:rPr>
                            <w:rFonts w:ascii="Arial" w:hAnsi="Arial" w:cs="Arial"/>
                          </w:rPr>
                        </w:pPr>
                        <w:r w:rsidRPr="000242EB">
                          <w:rPr>
                            <w:rFonts w:ascii="Arial" w:eastAsia="Calibri" w:hAnsi="Arial" w:cs="Arial"/>
                          </w:rPr>
                          <w:t>• Interpret histological, toxicological, chemical, hematological and microbiological laboratory results</w:t>
                        </w:r>
                      </w:p>
                    </w:tc>
                  </w:tr>
                  <w:tr w:rsidR="005867F6" w:rsidRPr="000242EB" w14:paraId="47FC3FB8" w14:textId="77777777">
                    <w:tc>
                      <w:tcPr>
                        <w:tcW w:w="5000" w:type="pct"/>
                        <w:tcBorders>
                          <w:top w:val="nil"/>
                          <w:left w:val="nil"/>
                          <w:bottom w:val="nil"/>
                          <w:right w:val="nil"/>
                        </w:tcBorders>
                      </w:tcPr>
                      <w:p w14:paraId="57EA0630" w14:textId="77777777" w:rsidR="005867F6" w:rsidRPr="000242EB" w:rsidRDefault="00AE0C05">
                        <w:pPr>
                          <w:rPr>
                            <w:rFonts w:ascii="Arial" w:hAnsi="Arial" w:cs="Arial"/>
                          </w:rPr>
                        </w:pPr>
                        <w:r w:rsidRPr="000242EB">
                          <w:rPr>
                            <w:rFonts w:ascii="Arial" w:eastAsia="Calibri" w:hAnsi="Arial" w:cs="Arial"/>
                          </w:rPr>
                          <w:t>• Testify in deposition and in court as an expert witness, effectively presenting and communicating findings in a logical manner</w:t>
                        </w:r>
                      </w:p>
                    </w:tc>
                  </w:tr>
                  <w:tr w:rsidR="005867F6" w:rsidRPr="000242EB" w14:paraId="3BC78338" w14:textId="77777777">
                    <w:tc>
                      <w:tcPr>
                        <w:tcW w:w="5000" w:type="pct"/>
                        <w:tcBorders>
                          <w:top w:val="nil"/>
                          <w:left w:val="nil"/>
                          <w:bottom w:val="nil"/>
                          <w:right w:val="nil"/>
                        </w:tcBorders>
                      </w:tcPr>
                      <w:p w14:paraId="33255F58" w14:textId="77777777" w:rsidR="005867F6" w:rsidRPr="000242EB" w:rsidRDefault="00AE0C05">
                        <w:pPr>
                          <w:rPr>
                            <w:rFonts w:ascii="Arial" w:hAnsi="Arial" w:cs="Arial"/>
                          </w:rPr>
                        </w:pPr>
                        <w:r w:rsidRPr="000242EB">
                          <w:rPr>
                            <w:rFonts w:ascii="Arial" w:eastAsia="Calibri" w:hAnsi="Arial" w:cs="Arial"/>
                          </w:rPr>
                          <w:t>• Maintain cooperative liaison with all elements of criminal justice system as well as with funeral directors and their staff</w:t>
                        </w:r>
                      </w:p>
                    </w:tc>
                  </w:tr>
                  <w:tr w:rsidR="005867F6" w:rsidRPr="000242EB" w14:paraId="0EB2FC66" w14:textId="77777777">
                    <w:tc>
                      <w:tcPr>
                        <w:tcW w:w="5000" w:type="pct"/>
                        <w:tcBorders>
                          <w:top w:val="nil"/>
                          <w:left w:val="nil"/>
                          <w:bottom w:val="nil"/>
                          <w:right w:val="nil"/>
                        </w:tcBorders>
                      </w:tcPr>
                      <w:p w14:paraId="7001C36C" w14:textId="77777777" w:rsidR="005867F6" w:rsidRPr="000242EB" w:rsidRDefault="00AE0C05">
                        <w:pPr>
                          <w:rPr>
                            <w:rFonts w:ascii="Arial" w:hAnsi="Arial" w:cs="Arial"/>
                          </w:rPr>
                        </w:pPr>
                        <w:r w:rsidRPr="000242EB">
                          <w:rPr>
                            <w:rFonts w:ascii="Arial" w:eastAsia="Calibri" w:hAnsi="Arial" w:cs="Arial"/>
                          </w:rPr>
                          <w:t>• Assist in establishing, evaluating and monitoring policies and operational procedures for handling potentially infectious autopsy cases and hazardous chemicals and equipment to assure optimal protection of personnel</w:t>
                        </w:r>
                      </w:p>
                    </w:tc>
                  </w:tr>
                  <w:tr w:rsidR="005867F6" w:rsidRPr="000242EB" w14:paraId="50DCBD55" w14:textId="77777777">
                    <w:tc>
                      <w:tcPr>
                        <w:tcW w:w="5000" w:type="pct"/>
                        <w:tcBorders>
                          <w:top w:val="nil"/>
                          <w:left w:val="nil"/>
                          <w:bottom w:val="nil"/>
                          <w:right w:val="nil"/>
                        </w:tcBorders>
                      </w:tcPr>
                      <w:p w14:paraId="038999C5" w14:textId="77777777" w:rsidR="005867F6" w:rsidRPr="000242EB" w:rsidRDefault="00AE0C05">
                        <w:pPr>
                          <w:rPr>
                            <w:rFonts w:ascii="Arial" w:hAnsi="Arial" w:cs="Arial"/>
                          </w:rPr>
                        </w:pPr>
                        <w:r w:rsidRPr="000242EB">
                          <w:rPr>
                            <w:rFonts w:ascii="Arial" w:eastAsia="Calibri" w:hAnsi="Arial" w:cs="Arial"/>
                          </w:rPr>
                          <w:t>• Conduct regular evaluations of facilities and equipment to ensure that facilities and equipment are properly maintained and meet applicable operational standards</w:t>
                        </w:r>
                      </w:p>
                    </w:tc>
                  </w:tr>
                  <w:tr w:rsidR="005867F6" w:rsidRPr="000242EB" w14:paraId="392F34E5" w14:textId="77777777">
                    <w:tc>
                      <w:tcPr>
                        <w:tcW w:w="5000" w:type="pct"/>
                        <w:tcBorders>
                          <w:top w:val="nil"/>
                          <w:left w:val="nil"/>
                          <w:bottom w:val="nil"/>
                          <w:right w:val="nil"/>
                        </w:tcBorders>
                      </w:tcPr>
                      <w:p w14:paraId="3F584A82" w14:textId="77777777" w:rsidR="005867F6" w:rsidRPr="000242EB" w:rsidRDefault="00AE0C05">
                        <w:pPr>
                          <w:rPr>
                            <w:rFonts w:ascii="Arial" w:hAnsi="Arial" w:cs="Arial"/>
                          </w:rPr>
                        </w:pPr>
                        <w:r w:rsidRPr="000242EB">
                          <w:rPr>
                            <w:rFonts w:ascii="Arial" w:eastAsia="Calibri" w:hAnsi="Arial" w:cs="Arial"/>
                          </w:rPr>
                          <w:t>• Provide information to citizens, news media and the general public in accordance with County, department, and division policy</w:t>
                        </w:r>
                      </w:p>
                    </w:tc>
                  </w:tr>
                </w:tbl>
                <w:p w14:paraId="630CFC99" w14:textId="77777777" w:rsidR="005867F6" w:rsidRPr="000242EB" w:rsidRDefault="005867F6">
                  <w:pPr>
                    <w:rPr>
                      <w:rFonts w:ascii="Arial" w:hAnsi="Arial" w:cs="Arial"/>
                    </w:rPr>
                  </w:pPr>
                </w:p>
              </w:tc>
            </w:tr>
          </w:tbl>
          <w:p w14:paraId="267C810E" w14:textId="77777777" w:rsidR="005867F6" w:rsidRPr="000242EB" w:rsidRDefault="005867F6">
            <w:pPr>
              <w:rPr>
                <w:rFonts w:ascii="Arial" w:hAnsi="Arial" w:cs="Arial"/>
              </w:rPr>
            </w:pPr>
          </w:p>
        </w:tc>
      </w:tr>
    </w:tbl>
    <w:p w14:paraId="6DE49C8D" w14:textId="77777777" w:rsidR="007152D5" w:rsidRPr="000242EB" w:rsidRDefault="007152D5">
      <w:pPr>
        <w:rPr>
          <w:rFonts w:ascii="Arial" w:hAnsi="Arial" w:cs="Arial"/>
          <w:color w:val="2F6C94"/>
        </w:rPr>
      </w:pPr>
    </w:p>
    <w:tbl>
      <w:tblPr>
        <w:tblW w:w="5000" w:type="pc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Look w:val="04A0" w:firstRow="1" w:lastRow="0" w:firstColumn="1" w:lastColumn="0" w:noHBand="0" w:noVBand="1"/>
      </w:tblPr>
      <w:tblGrid>
        <w:gridCol w:w="10780"/>
      </w:tblGrid>
      <w:tr w:rsidR="005867F6" w:rsidRPr="000242EB" w14:paraId="5D875A07" w14:textId="77777777">
        <w:tc>
          <w:tcPr>
            <w:tcW w:w="0" w:type="auto"/>
            <w:shd w:val="solid" w:color="F0F1F1" w:fill="F0F1F1"/>
            <w:tcMar>
              <w:top w:w="140" w:type="dxa"/>
              <w:left w:w="100" w:type="dxa"/>
              <w:bottom w:w="140" w:type="dxa"/>
              <w:right w:w="100" w:type="dxa"/>
            </w:tcMar>
          </w:tcPr>
          <w:p w14:paraId="54A8746D" w14:textId="77777777" w:rsidR="005867F6" w:rsidRPr="000242EB" w:rsidRDefault="00AE0C05">
            <w:pPr>
              <w:rPr>
                <w:rFonts w:ascii="Arial" w:hAnsi="Arial" w:cs="Arial"/>
              </w:rPr>
            </w:pPr>
            <w:r w:rsidRPr="000242EB">
              <w:rPr>
                <w:rFonts w:ascii="Arial" w:eastAsia="Calibri" w:hAnsi="Arial" w:cs="Arial"/>
                <w:b/>
                <w:bCs/>
                <w:color w:val="2F6C94"/>
              </w:rPr>
              <w:t>Minimum Qualifications</w:t>
            </w:r>
          </w:p>
        </w:tc>
      </w:tr>
      <w:tr w:rsidR="005867F6" w:rsidRPr="000242EB" w14:paraId="3E2D06D4" w14:textId="77777777">
        <w:tc>
          <w:tcPr>
            <w:tcW w:w="0" w:type="auto"/>
            <w:tcMar>
              <w:top w:w="200" w:type="dxa"/>
              <w:left w:w="160" w:type="dxa"/>
              <w:bottom w:w="200" w:type="dxa"/>
              <w:right w:w="160" w:type="dxa"/>
            </w:tcMar>
          </w:tcPr>
          <w:tbl>
            <w:tblPr>
              <w:tblW w:w="5000" w:type="pct"/>
              <w:tblBorders>
                <w:top w:val="nil"/>
                <w:left w:val="nil"/>
                <w:bottom w:val="nil"/>
                <w:right w:val="nil"/>
                <w:insideH w:val="nil"/>
                <w:insideV w:val="nil"/>
              </w:tblBorders>
              <w:tblLook w:val="04A0" w:firstRow="1" w:lastRow="0" w:firstColumn="1" w:lastColumn="0" w:noHBand="0" w:noVBand="1"/>
            </w:tblPr>
            <w:tblGrid>
              <w:gridCol w:w="10460"/>
            </w:tblGrid>
            <w:tr w:rsidR="005867F6" w:rsidRPr="000242EB" w14:paraId="5E317375" w14:textId="77777777">
              <w:tc>
                <w:tcPr>
                  <w:tcW w:w="0" w:type="auto"/>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4"/>
                  </w:tblGrid>
                  <w:tr w:rsidR="005867F6" w:rsidRPr="000242EB" w14:paraId="0A8CEEA2" w14:textId="77777777">
                    <w:tc>
                      <w:tcPr>
                        <w:tcW w:w="5000" w:type="pct"/>
                        <w:tcBorders>
                          <w:top w:val="nil"/>
                          <w:left w:val="nil"/>
                          <w:bottom w:val="nil"/>
                          <w:right w:val="nil"/>
                        </w:tcBorders>
                      </w:tcPr>
                      <w:p w14:paraId="06732632" w14:textId="3C25373B" w:rsidR="005867F6" w:rsidRPr="000242EB" w:rsidRDefault="00AE0C05" w:rsidP="00F83F0B">
                        <w:pPr>
                          <w:rPr>
                            <w:rFonts w:ascii="Arial" w:hAnsi="Arial" w:cs="Arial"/>
                          </w:rPr>
                        </w:pPr>
                        <w:r w:rsidRPr="000242EB">
                          <w:rPr>
                            <w:rFonts w:ascii="Arial" w:eastAsia="Calibri" w:hAnsi="Arial" w:cs="Arial"/>
                            <w:b/>
                          </w:rPr>
                          <w:t xml:space="preserve">Experience: </w:t>
                        </w:r>
                        <w:r w:rsidR="00F83F0B">
                          <w:rPr>
                            <w:rFonts w:ascii="Arial" w:eastAsia="Calibri" w:hAnsi="Arial" w:cs="Arial"/>
                            <w:b/>
                          </w:rPr>
                          <w:t xml:space="preserve"> </w:t>
                        </w:r>
                        <w:r w:rsidRPr="000242EB">
                          <w:rPr>
                            <w:rFonts w:ascii="Arial" w:eastAsia="Calibri" w:hAnsi="Arial" w:cs="Arial"/>
                          </w:rPr>
                          <w:t>Minimum of one year of related work experience.</w:t>
                        </w:r>
                      </w:p>
                    </w:tc>
                  </w:tr>
                </w:tbl>
                <w:p w14:paraId="5BAB859B" w14:textId="77777777" w:rsidR="005867F6" w:rsidRPr="000242EB" w:rsidRDefault="005867F6">
                  <w:pPr>
                    <w:rPr>
                      <w:rFonts w:ascii="Arial" w:hAnsi="Arial" w:cs="Arial"/>
                    </w:rPr>
                  </w:pPr>
                </w:p>
              </w:tc>
            </w:tr>
          </w:tbl>
          <w:p w14:paraId="2A273BC7" w14:textId="77777777" w:rsidR="005867F6" w:rsidRPr="000242EB" w:rsidRDefault="005867F6">
            <w:pPr>
              <w:rPr>
                <w:rFonts w:ascii="Arial" w:hAnsi="Arial" w:cs="Arial"/>
              </w:rPr>
            </w:pPr>
          </w:p>
        </w:tc>
      </w:tr>
      <w:tr w:rsidR="005867F6" w:rsidRPr="000242EB" w14:paraId="6C6AD72E" w14:textId="77777777">
        <w:tc>
          <w:tcPr>
            <w:tcW w:w="0" w:type="auto"/>
            <w:tcMar>
              <w:top w:w="200" w:type="dxa"/>
              <w:left w:w="160" w:type="dxa"/>
              <w:bottom w:w="200" w:type="dxa"/>
              <w:right w:w="160" w:type="dxa"/>
            </w:tcMar>
          </w:tcPr>
          <w:tbl>
            <w:tblPr>
              <w:tblW w:w="5000" w:type="pct"/>
              <w:tblBorders>
                <w:top w:val="nil"/>
                <w:left w:val="nil"/>
                <w:bottom w:val="nil"/>
                <w:right w:val="nil"/>
                <w:insideH w:val="nil"/>
                <w:insideV w:val="nil"/>
              </w:tblBorders>
              <w:tblLook w:val="04A0" w:firstRow="1" w:lastRow="0" w:firstColumn="1" w:lastColumn="0" w:noHBand="0" w:noVBand="1"/>
            </w:tblPr>
            <w:tblGrid>
              <w:gridCol w:w="10460"/>
            </w:tblGrid>
            <w:tr w:rsidR="005867F6" w:rsidRPr="000242EB" w14:paraId="7BE637D5" w14:textId="77777777">
              <w:tc>
                <w:tcPr>
                  <w:tcW w:w="0" w:type="auto"/>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4"/>
                  </w:tblGrid>
                  <w:tr w:rsidR="005867F6" w:rsidRPr="000242EB" w14:paraId="417E6C51" w14:textId="77777777">
                    <w:tc>
                      <w:tcPr>
                        <w:tcW w:w="5000" w:type="pct"/>
                        <w:tcBorders>
                          <w:top w:val="nil"/>
                          <w:left w:val="nil"/>
                          <w:bottom w:val="nil"/>
                          <w:right w:val="nil"/>
                        </w:tcBorders>
                      </w:tcPr>
                      <w:p w14:paraId="41BD45C5" w14:textId="631ED88F" w:rsidR="00E878D0" w:rsidRDefault="00AE0C05" w:rsidP="00F83F0B">
                        <w:pPr>
                          <w:rPr>
                            <w:rFonts w:ascii="Arial" w:eastAsia="Calibri" w:hAnsi="Arial" w:cs="Arial"/>
                          </w:rPr>
                        </w:pPr>
                        <w:r w:rsidRPr="000242EB">
                          <w:rPr>
                            <w:rFonts w:ascii="Arial" w:eastAsia="Calibri" w:hAnsi="Arial" w:cs="Arial"/>
                            <w:b/>
                          </w:rPr>
                          <w:t xml:space="preserve">Education:  </w:t>
                        </w:r>
                        <w:r w:rsidRPr="000242EB">
                          <w:rPr>
                            <w:rFonts w:ascii="Arial" w:eastAsia="Calibri" w:hAnsi="Arial" w:cs="Arial"/>
                          </w:rPr>
                          <w:t xml:space="preserve">Graduation from accredited school of medicine or osteopathy and forensic pathology training. Must be certified by the American Board of Pathology in Anatomic Pathology and Forensic Pathology, or take and pass the board examinations within two years of hire. </w:t>
                        </w:r>
                      </w:p>
                      <w:p w14:paraId="18FEADC2" w14:textId="77777777" w:rsidR="00E878D0" w:rsidRDefault="00E878D0">
                        <w:pPr>
                          <w:pStyle w:val="p"/>
                          <w:rPr>
                            <w:rFonts w:ascii="Arial" w:eastAsia="Calibri" w:hAnsi="Arial" w:cs="Arial"/>
                          </w:rPr>
                        </w:pPr>
                      </w:p>
                      <w:p w14:paraId="201ADC34" w14:textId="152A7607" w:rsidR="005867F6" w:rsidRPr="000242EB" w:rsidRDefault="00AE0C05">
                        <w:pPr>
                          <w:pStyle w:val="p"/>
                          <w:rPr>
                            <w:rFonts w:ascii="Arial" w:hAnsi="Arial" w:cs="Arial"/>
                          </w:rPr>
                        </w:pPr>
                        <w:r w:rsidRPr="000242EB">
                          <w:rPr>
                            <w:rFonts w:ascii="Arial" w:eastAsia="Calibri" w:hAnsi="Arial" w:cs="Arial"/>
                          </w:rPr>
                          <w:t>Must have an active license to practice medicine in the State of North Carolina as required.</w:t>
                        </w:r>
                      </w:p>
                    </w:tc>
                  </w:tr>
                </w:tbl>
                <w:p w14:paraId="2A0E2676" w14:textId="77777777" w:rsidR="005867F6" w:rsidRPr="000242EB" w:rsidRDefault="005867F6">
                  <w:pPr>
                    <w:rPr>
                      <w:rFonts w:ascii="Arial" w:hAnsi="Arial" w:cs="Arial"/>
                    </w:rPr>
                  </w:pPr>
                </w:p>
              </w:tc>
            </w:tr>
          </w:tbl>
          <w:p w14:paraId="49F8E4B5" w14:textId="77777777" w:rsidR="005867F6" w:rsidRPr="000242EB" w:rsidRDefault="005867F6">
            <w:pPr>
              <w:rPr>
                <w:rFonts w:ascii="Arial" w:hAnsi="Arial" w:cs="Arial"/>
              </w:rPr>
            </w:pPr>
          </w:p>
        </w:tc>
      </w:tr>
      <w:tr w:rsidR="005867F6" w:rsidRPr="000242EB" w14:paraId="10E65E9A" w14:textId="77777777">
        <w:tc>
          <w:tcPr>
            <w:tcW w:w="0" w:type="auto"/>
            <w:tcMar>
              <w:top w:w="200" w:type="dxa"/>
              <w:left w:w="160" w:type="dxa"/>
              <w:bottom w:w="200" w:type="dxa"/>
              <w:right w:w="160" w:type="dxa"/>
            </w:tcMar>
          </w:tcPr>
          <w:tbl>
            <w:tblPr>
              <w:tblW w:w="5000" w:type="pct"/>
              <w:tblBorders>
                <w:top w:val="nil"/>
                <w:left w:val="nil"/>
                <w:bottom w:val="nil"/>
                <w:right w:val="nil"/>
                <w:insideH w:val="nil"/>
                <w:insideV w:val="nil"/>
              </w:tblBorders>
              <w:tblLook w:val="04A0" w:firstRow="1" w:lastRow="0" w:firstColumn="1" w:lastColumn="0" w:noHBand="0" w:noVBand="1"/>
            </w:tblPr>
            <w:tblGrid>
              <w:gridCol w:w="10460"/>
            </w:tblGrid>
            <w:tr w:rsidR="005867F6" w:rsidRPr="000242EB" w14:paraId="0836D2CF" w14:textId="77777777">
              <w:tc>
                <w:tcPr>
                  <w:tcW w:w="0" w:type="auto"/>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4"/>
                  </w:tblGrid>
                  <w:tr w:rsidR="005867F6" w:rsidRPr="000242EB" w14:paraId="4F16235F" w14:textId="77777777">
                    <w:tc>
                      <w:tcPr>
                        <w:tcW w:w="5000" w:type="pct"/>
                        <w:tcBorders>
                          <w:top w:val="nil"/>
                          <w:left w:val="nil"/>
                          <w:bottom w:val="nil"/>
                          <w:right w:val="nil"/>
                        </w:tcBorders>
                      </w:tcPr>
                      <w:p w14:paraId="59CE0156" w14:textId="3166C901" w:rsidR="005867F6" w:rsidRPr="000242EB" w:rsidRDefault="00AE0C05">
                        <w:pPr>
                          <w:rPr>
                            <w:rFonts w:ascii="Arial" w:hAnsi="Arial" w:cs="Arial"/>
                          </w:rPr>
                        </w:pPr>
                        <w:r w:rsidRPr="000242EB">
                          <w:rPr>
                            <w:rFonts w:ascii="Arial" w:eastAsia="Calibri" w:hAnsi="Arial" w:cs="Arial"/>
                            <w:b/>
                          </w:rPr>
                          <w:t xml:space="preserve">Combination of relevant education and relevant experience accepted?  </w:t>
                        </w:r>
                        <w:r w:rsidRPr="000242EB">
                          <w:rPr>
                            <w:rFonts w:ascii="Arial" w:eastAsia="Calibri" w:hAnsi="Arial" w:cs="Arial"/>
                          </w:rPr>
                          <w:t>Yes</w:t>
                        </w:r>
                      </w:p>
                    </w:tc>
                  </w:tr>
                </w:tbl>
                <w:p w14:paraId="1F57D944" w14:textId="77777777" w:rsidR="005867F6" w:rsidRPr="000242EB" w:rsidRDefault="005867F6">
                  <w:pPr>
                    <w:rPr>
                      <w:rFonts w:ascii="Arial" w:hAnsi="Arial" w:cs="Arial"/>
                    </w:rPr>
                  </w:pPr>
                </w:p>
              </w:tc>
            </w:tr>
          </w:tbl>
          <w:p w14:paraId="3A41FF27" w14:textId="77777777" w:rsidR="005867F6" w:rsidRPr="000242EB" w:rsidRDefault="005867F6">
            <w:pPr>
              <w:rPr>
                <w:rFonts w:ascii="Arial" w:hAnsi="Arial" w:cs="Arial"/>
              </w:rPr>
            </w:pPr>
          </w:p>
        </w:tc>
      </w:tr>
      <w:tr w:rsidR="005867F6" w:rsidRPr="000242EB" w14:paraId="4993BD34" w14:textId="77777777">
        <w:tc>
          <w:tcPr>
            <w:tcW w:w="0" w:type="auto"/>
            <w:tcMar>
              <w:top w:w="200" w:type="dxa"/>
              <w:left w:w="160" w:type="dxa"/>
              <w:bottom w:w="200" w:type="dxa"/>
              <w:right w:w="160" w:type="dxa"/>
            </w:tcMar>
          </w:tcPr>
          <w:tbl>
            <w:tblPr>
              <w:tblW w:w="5000" w:type="pct"/>
              <w:tblBorders>
                <w:top w:val="nil"/>
                <w:left w:val="nil"/>
                <w:bottom w:val="nil"/>
                <w:right w:val="nil"/>
                <w:insideH w:val="nil"/>
                <w:insideV w:val="nil"/>
              </w:tblBorders>
              <w:tblLook w:val="04A0" w:firstRow="1" w:lastRow="0" w:firstColumn="1" w:lastColumn="0" w:noHBand="0" w:noVBand="1"/>
            </w:tblPr>
            <w:tblGrid>
              <w:gridCol w:w="10460"/>
            </w:tblGrid>
            <w:tr w:rsidR="005867F6" w:rsidRPr="000242EB" w14:paraId="4122B773" w14:textId="77777777">
              <w:tc>
                <w:tcPr>
                  <w:tcW w:w="0" w:type="auto"/>
                  <w:tcMar>
                    <w:top w:w="0" w:type="dxa"/>
                    <w:left w:w="100" w:type="dxa"/>
                    <w:bottom w:w="20" w:type="dxa"/>
                    <w:right w:w="100" w:type="dxa"/>
                  </w:tcMar>
                </w:tcPr>
                <w:p w14:paraId="70C7EED8" w14:textId="70DE1EE6" w:rsidR="005867F6" w:rsidRPr="000242EB" w:rsidRDefault="00AE0C05">
                  <w:pPr>
                    <w:rPr>
                      <w:rFonts w:ascii="Arial" w:hAnsi="Arial" w:cs="Arial"/>
                    </w:rPr>
                  </w:pPr>
                  <w:r w:rsidRPr="000242EB">
                    <w:rPr>
                      <w:rFonts w:ascii="Arial" w:eastAsia="Calibri" w:hAnsi="Arial" w:cs="Arial"/>
                      <w:b/>
                      <w:bCs/>
                    </w:rPr>
                    <w:t>Licenses and Certifications</w:t>
                  </w:r>
                  <w:r w:rsidR="004A28C4">
                    <w:rPr>
                      <w:rFonts w:ascii="Arial" w:eastAsia="Calibri" w:hAnsi="Arial" w:cs="Arial"/>
                      <w:b/>
                      <w:bCs/>
                    </w:rPr>
                    <w:t>:</w:t>
                  </w:r>
                </w:p>
              </w:tc>
            </w:tr>
            <w:tr w:rsidR="005867F6" w:rsidRPr="000242EB" w14:paraId="39B93C5E" w14:textId="77777777">
              <w:tc>
                <w:tcPr>
                  <w:tcW w:w="0" w:type="auto"/>
                  <w:shd w:val="clear" w:color="auto" w:fill="auto"/>
                  <w:tcMar>
                    <w:top w:w="0" w:type="dxa"/>
                    <w:left w:w="100" w:type="dxa"/>
                    <w:bottom w:w="20" w:type="dxa"/>
                    <w:right w:w="100" w:type="dxa"/>
                  </w:tcMa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0"/>
                  </w:tblGrid>
                  <w:tr w:rsidR="005867F6" w:rsidRPr="000242EB" w14:paraId="3A42126F" w14:textId="77777777">
                    <w:tc>
                      <w:tcPr>
                        <w:tcW w:w="5000" w:type="pct"/>
                        <w:tcBorders>
                          <w:top w:val="nil"/>
                          <w:left w:val="nil"/>
                          <w:bottom w:val="nil"/>
                          <w:right w:val="nil"/>
                        </w:tcBorders>
                      </w:tcPr>
                      <w:p w14:paraId="6BE48EAA" w14:textId="376F5A01" w:rsidR="005867F6" w:rsidRPr="000242EB" w:rsidRDefault="00AE0C05">
                        <w:pPr>
                          <w:rPr>
                            <w:rFonts w:ascii="Arial" w:hAnsi="Arial" w:cs="Arial"/>
                          </w:rPr>
                        </w:pPr>
                        <w:r w:rsidRPr="000242EB">
                          <w:rPr>
                            <w:rFonts w:ascii="Arial" w:eastAsia="Calibri" w:hAnsi="Arial" w:cs="Arial"/>
                          </w:rPr>
                          <w:t>• </w:t>
                        </w:r>
                        <w:r w:rsidR="004A28C4">
                          <w:rPr>
                            <w:rFonts w:ascii="Arial" w:eastAsia="Calibri" w:hAnsi="Arial" w:cs="Arial"/>
                          </w:rPr>
                          <w:t>A</w:t>
                        </w:r>
                        <w:r w:rsidRPr="000242EB">
                          <w:rPr>
                            <w:rFonts w:ascii="Arial" w:eastAsia="Calibri" w:hAnsi="Arial" w:cs="Arial"/>
                          </w:rPr>
                          <w:t xml:space="preserve"> valid NC or SC driver’s license.</w:t>
                        </w:r>
                      </w:p>
                    </w:tc>
                  </w:tr>
                  <w:tr w:rsidR="005867F6" w:rsidRPr="000242EB" w14:paraId="4719596A" w14:textId="77777777">
                    <w:tc>
                      <w:tcPr>
                        <w:tcW w:w="5000" w:type="pct"/>
                        <w:tcBorders>
                          <w:top w:val="nil"/>
                          <w:left w:val="nil"/>
                          <w:bottom w:val="nil"/>
                          <w:right w:val="nil"/>
                        </w:tcBorders>
                      </w:tcPr>
                      <w:p w14:paraId="13C9FDC6" w14:textId="5D0DAE21" w:rsidR="005867F6" w:rsidRPr="000242EB" w:rsidRDefault="00AE0C05">
                        <w:pPr>
                          <w:rPr>
                            <w:rFonts w:ascii="Arial" w:hAnsi="Arial" w:cs="Arial"/>
                          </w:rPr>
                        </w:pPr>
                        <w:r w:rsidRPr="000242EB">
                          <w:rPr>
                            <w:rFonts w:ascii="Arial" w:eastAsia="Calibri" w:hAnsi="Arial" w:cs="Arial"/>
                          </w:rPr>
                          <w:t>• </w:t>
                        </w:r>
                        <w:r w:rsidR="004A28C4">
                          <w:rPr>
                            <w:rFonts w:ascii="Arial" w:eastAsia="Calibri" w:hAnsi="Arial" w:cs="Arial"/>
                          </w:rPr>
                          <w:t>A</w:t>
                        </w:r>
                        <w:r w:rsidRPr="000242EB">
                          <w:rPr>
                            <w:rFonts w:ascii="Arial" w:eastAsia="Calibri" w:hAnsi="Arial" w:cs="Arial"/>
                          </w:rPr>
                          <w:t>bility to obtain and maintain a valid Mecklenburg County Vehicle Operator’s Permit (COP).</w:t>
                        </w:r>
                      </w:p>
                    </w:tc>
                  </w:tr>
                  <w:tr w:rsidR="005867F6" w:rsidRPr="000242EB" w14:paraId="292B13B6" w14:textId="77777777">
                    <w:tc>
                      <w:tcPr>
                        <w:tcW w:w="5000" w:type="pct"/>
                        <w:tcBorders>
                          <w:top w:val="nil"/>
                          <w:left w:val="nil"/>
                          <w:bottom w:val="nil"/>
                          <w:right w:val="nil"/>
                        </w:tcBorders>
                      </w:tcPr>
                      <w:p w14:paraId="32881219" w14:textId="77777777" w:rsidR="005867F6" w:rsidRPr="000242EB" w:rsidRDefault="00AE0C05">
                        <w:pPr>
                          <w:rPr>
                            <w:rFonts w:ascii="Arial" w:hAnsi="Arial" w:cs="Arial"/>
                          </w:rPr>
                        </w:pPr>
                        <w:r w:rsidRPr="000242EB">
                          <w:rPr>
                            <w:rFonts w:ascii="Arial" w:eastAsia="Calibri" w:hAnsi="Arial" w:cs="Arial"/>
                          </w:rPr>
                          <w:t>• Annual Motor Vehicle Record (MVR) check required.</w:t>
                        </w:r>
                      </w:p>
                    </w:tc>
                  </w:tr>
                </w:tbl>
                <w:p w14:paraId="74A003A8" w14:textId="77777777" w:rsidR="005867F6" w:rsidRPr="000242EB" w:rsidRDefault="005867F6">
                  <w:pPr>
                    <w:rPr>
                      <w:rFonts w:ascii="Arial" w:hAnsi="Arial" w:cs="Arial"/>
                    </w:rPr>
                  </w:pPr>
                </w:p>
              </w:tc>
            </w:tr>
          </w:tbl>
          <w:p w14:paraId="124DB133" w14:textId="77777777" w:rsidR="005867F6" w:rsidRPr="000242EB" w:rsidRDefault="005867F6">
            <w:pPr>
              <w:rPr>
                <w:rFonts w:ascii="Arial" w:hAnsi="Arial" w:cs="Arial"/>
              </w:rPr>
            </w:pPr>
          </w:p>
        </w:tc>
      </w:tr>
    </w:tbl>
    <w:p w14:paraId="356BDF79" w14:textId="77777777" w:rsidR="005867F6" w:rsidRDefault="005867F6">
      <w:pPr>
        <w:rPr>
          <w:color w:val="2F6C94"/>
        </w:rPr>
      </w:pPr>
    </w:p>
    <w:sectPr w:rsidR="005867F6">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149EAA" w14:textId="77777777" w:rsidR="00450388" w:rsidRDefault="00450388">
      <w:r>
        <w:separator/>
      </w:r>
    </w:p>
  </w:endnote>
  <w:endnote w:type="continuationSeparator" w:id="0">
    <w:p w14:paraId="44BBD75C" w14:textId="77777777" w:rsidR="00450388" w:rsidRDefault="00450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5867F6" w14:paraId="0E6BE161" w14:textId="77777777">
      <w:tc>
        <w:tcPr>
          <w:tcW w:w="0" w:type="auto"/>
          <w:tcBorders>
            <w:top w:val="nil"/>
            <w:left w:val="nil"/>
            <w:bottom w:val="nil"/>
            <w:right w:val="nil"/>
          </w:tcBorders>
          <w:tcMar>
            <w:top w:w="200" w:type="dxa"/>
            <w:left w:w="0" w:type="dxa"/>
          </w:tcMa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4"/>
            <w:gridCol w:w="3564"/>
            <w:gridCol w:w="3564"/>
          </w:tblGrid>
          <w:tr w:rsidR="005867F6" w14:paraId="0A32EC03" w14:textId="77777777">
            <w:tc>
              <w:tcPr>
                <w:tcW w:w="3600" w:type="dxa"/>
                <w:tcBorders>
                  <w:top w:val="nil"/>
                  <w:left w:val="nil"/>
                  <w:bottom w:val="nil"/>
                  <w:right w:val="nil"/>
                </w:tcBorders>
                <w:tcMar>
                  <w:top w:w="200" w:type="dxa"/>
                  <w:left w:w="0" w:type="dxa"/>
                </w:tcMar>
              </w:tcPr>
              <w:p w14:paraId="28B615C9" w14:textId="7DAC492C" w:rsidR="005867F6" w:rsidRDefault="005867F6">
                <w:pPr>
                  <w:rPr>
                    <w:color w:val="808080"/>
                  </w:rPr>
                </w:pPr>
              </w:p>
            </w:tc>
            <w:tc>
              <w:tcPr>
                <w:tcW w:w="3600" w:type="dxa"/>
                <w:tcBorders>
                  <w:top w:val="nil"/>
                  <w:left w:val="nil"/>
                  <w:bottom w:val="nil"/>
                  <w:right w:val="nil"/>
                </w:tcBorders>
                <w:tcMar>
                  <w:top w:w="200" w:type="dxa"/>
                  <w:left w:w="0" w:type="dxa"/>
                </w:tcMar>
              </w:tcPr>
              <w:p w14:paraId="6C6E9642" w14:textId="14CE3E0C" w:rsidR="005867F6" w:rsidRDefault="005867F6" w:rsidP="002E36B7">
                <w:pPr>
                  <w:rPr>
                    <w:color w:val="808080"/>
                  </w:rPr>
                </w:pPr>
              </w:p>
            </w:tc>
            <w:tc>
              <w:tcPr>
                <w:tcW w:w="3600" w:type="dxa"/>
                <w:tcBorders>
                  <w:top w:val="nil"/>
                  <w:left w:val="nil"/>
                  <w:bottom w:val="nil"/>
                  <w:right w:val="nil"/>
                </w:tcBorders>
                <w:tcMar>
                  <w:top w:w="200" w:type="dxa"/>
                  <w:left w:w="0" w:type="dxa"/>
                </w:tcMar>
              </w:tcPr>
              <w:p w14:paraId="698764CD" w14:textId="547F82DA" w:rsidR="005867F6" w:rsidRDefault="005867F6" w:rsidP="002E36B7">
                <w:pPr>
                  <w:rPr>
                    <w:color w:val="808080"/>
                  </w:rPr>
                </w:pPr>
              </w:p>
            </w:tc>
          </w:tr>
        </w:tbl>
        <w:p w14:paraId="5E94D2E7" w14:textId="77777777" w:rsidR="005867F6" w:rsidRDefault="005867F6"/>
      </w:tc>
    </w:tr>
  </w:tbl>
  <w:p w14:paraId="5BB20A92" w14:textId="77777777" w:rsidR="005867F6" w:rsidRDefault="005867F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ED0E2D" w14:textId="77777777" w:rsidR="00450388" w:rsidRDefault="00450388">
      <w:r>
        <w:separator/>
      </w:r>
    </w:p>
  </w:footnote>
  <w:footnote w:type="continuationSeparator" w:id="0">
    <w:p w14:paraId="37950E86" w14:textId="77777777" w:rsidR="00450388" w:rsidRDefault="004503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DC591B"/>
    <w:multiLevelType w:val="multilevel"/>
    <w:tmpl w:val="39562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42EB"/>
    <w:rsid w:val="0006524F"/>
    <w:rsid w:val="000B22E8"/>
    <w:rsid w:val="002E36B7"/>
    <w:rsid w:val="00392D0B"/>
    <w:rsid w:val="00450388"/>
    <w:rsid w:val="004A28C4"/>
    <w:rsid w:val="004B66D2"/>
    <w:rsid w:val="004D4DF0"/>
    <w:rsid w:val="005867F6"/>
    <w:rsid w:val="005F10E5"/>
    <w:rsid w:val="0061759A"/>
    <w:rsid w:val="006758FA"/>
    <w:rsid w:val="006C2942"/>
    <w:rsid w:val="007152D5"/>
    <w:rsid w:val="00724C5C"/>
    <w:rsid w:val="007F167C"/>
    <w:rsid w:val="00811BF5"/>
    <w:rsid w:val="00822BDD"/>
    <w:rsid w:val="00845EC4"/>
    <w:rsid w:val="009A7E29"/>
    <w:rsid w:val="009F3547"/>
    <w:rsid w:val="00A57B6B"/>
    <w:rsid w:val="00A77B3E"/>
    <w:rsid w:val="00AB31CB"/>
    <w:rsid w:val="00AC52E8"/>
    <w:rsid w:val="00AE0C05"/>
    <w:rsid w:val="00B626BA"/>
    <w:rsid w:val="00C66056"/>
    <w:rsid w:val="00C9195C"/>
    <w:rsid w:val="00CA2A55"/>
    <w:rsid w:val="00D12CA0"/>
    <w:rsid w:val="00D2161A"/>
    <w:rsid w:val="00D2188B"/>
    <w:rsid w:val="00D96021"/>
    <w:rsid w:val="00D96204"/>
    <w:rsid w:val="00DA0E6C"/>
    <w:rsid w:val="00E202CA"/>
    <w:rsid w:val="00E26B76"/>
    <w:rsid w:val="00E878D0"/>
    <w:rsid w:val="00EA0B3A"/>
    <w:rsid w:val="00F57D79"/>
    <w:rsid w:val="00F83F0B"/>
    <w:rsid w:val="00FD52F3"/>
    <w:rsid w:val="00FE2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D71820"/>
  <w15:docId w15:val="{F48302D0-E1BC-4515-A9AD-5F41C844F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basedOn w:val="Normal"/>
  </w:style>
  <w:style w:type="paragraph" w:styleId="BalloonText">
    <w:name w:val="Balloon Text"/>
    <w:basedOn w:val="Normal"/>
    <w:link w:val="BalloonTextChar"/>
    <w:rsid w:val="00D2161A"/>
    <w:rPr>
      <w:rFonts w:ascii="Segoe UI" w:hAnsi="Segoe UI" w:cs="Segoe UI"/>
      <w:sz w:val="18"/>
      <w:szCs w:val="18"/>
    </w:rPr>
  </w:style>
  <w:style w:type="character" w:customStyle="1" w:styleId="BalloonTextChar">
    <w:name w:val="Balloon Text Char"/>
    <w:basedOn w:val="DefaultParagraphFont"/>
    <w:link w:val="BalloonText"/>
    <w:rsid w:val="00D2161A"/>
    <w:rPr>
      <w:rFonts w:ascii="Segoe UI" w:hAnsi="Segoe UI" w:cs="Segoe UI"/>
      <w:sz w:val="18"/>
      <w:szCs w:val="18"/>
    </w:rPr>
  </w:style>
  <w:style w:type="paragraph" w:styleId="Header">
    <w:name w:val="header"/>
    <w:basedOn w:val="Normal"/>
    <w:link w:val="HeaderChar"/>
    <w:unhideWhenUsed/>
    <w:rsid w:val="002E36B7"/>
    <w:pPr>
      <w:tabs>
        <w:tab w:val="center" w:pos="4680"/>
        <w:tab w:val="right" w:pos="9360"/>
      </w:tabs>
    </w:pPr>
  </w:style>
  <w:style w:type="character" w:customStyle="1" w:styleId="HeaderChar">
    <w:name w:val="Header Char"/>
    <w:basedOn w:val="DefaultParagraphFont"/>
    <w:link w:val="Header"/>
    <w:rsid w:val="002E36B7"/>
    <w:rPr>
      <w:sz w:val="24"/>
      <w:szCs w:val="24"/>
    </w:rPr>
  </w:style>
  <w:style w:type="paragraph" w:styleId="Footer">
    <w:name w:val="footer"/>
    <w:basedOn w:val="Normal"/>
    <w:link w:val="FooterChar"/>
    <w:unhideWhenUsed/>
    <w:rsid w:val="002E36B7"/>
    <w:pPr>
      <w:tabs>
        <w:tab w:val="center" w:pos="4680"/>
        <w:tab w:val="right" w:pos="9360"/>
      </w:tabs>
    </w:pPr>
  </w:style>
  <w:style w:type="character" w:customStyle="1" w:styleId="FooterChar">
    <w:name w:val="Footer Char"/>
    <w:basedOn w:val="DefaultParagraphFont"/>
    <w:link w:val="Footer"/>
    <w:rsid w:val="002E36B7"/>
    <w:rPr>
      <w:sz w:val="24"/>
      <w:szCs w:val="24"/>
    </w:rPr>
  </w:style>
  <w:style w:type="character" w:styleId="Hyperlink">
    <w:name w:val="Hyperlink"/>
    <w:basedOn w:val="DefaultParagraphFont"/>
    <w:unhideWhenUsed/>
    <w:rsid w:val="00D2188B"/>
    <w:rPr>
      <w:color w:val="0000FF" w:themeColor="hyperlink"/>
      <w:u w:val="single"/>
    </w:rPr>
  </w:style>
  <w:style w:type="character" w:styleId="UnresolvedMention">
    <w:name w:val="Unresolved Mention"/>
    <w:basedOn w:val="DefaultParagraphFont"/>
    <w:uiPriority w:val="99"/>
    <w:semiHidden/>
    <w:unhideWhenUsed/>
    <w:rsid w:val="00D218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meckcounty.csod.com/ux/ats/careersite/1/home/requisition/2776?c=meckcounty"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31A4124919D0E499037C97ADB977328" ma:contentTypeVersion="10" ma:contentTypeDescription="Create a new document." ma:contentTypeScope="" ma:versionID="ab82cd4f36426d377568ddb92d9db983">
  <xsd:schema xmlns:xsd="http://www.w3.org/2001/XMLSchema" xmlns:xs="http://www.w3.org/2001/XMLSchema" xmlns:p="http://schemas.microsoft.com/office/2006/metadata/properties" xmlns:ns3="ae75419b-dd6d-4c55-9bb4-13f723e4c127" xmlns:ns4="cd383b9e-1f59-419c-8abf-5ddc11ce9e94" targetNamespace="http://schemas.microsoft.com/office/2006/metadata/properties" ma:root="true" ma:fieldsID="e2046751a79eadc5060fc759bdbb7c01" ns3:_="" ns4:_="">
    <xsd:import namespace="ae75419b-dd6d-4c55-9bb4-13f723e4c127"/>
    <xsd:import namespace="cd383b9e-1f59-419c-8abf-5ddc11ce9e9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75419b-dd6d-4c55-9bb4-13f723e4c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383b9e-1f59-419c-8abf-5ddc11ce9e9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F19538-0788-4587-9C51-D4E73B1EB29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0F5A0D1-03E8-4F03-A3B2-505311F2C3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75419b-dd6d-4c55-9bb4-13f723e4c127"/>
    <ds:schemaRef ds:uri="cd383b9e-1f59-419c-8abf-5ddc11ce9e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B2E804-7D1A-41AD-B87B-D78751CDC1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2</Pages>
  <Words>610</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Rule, Torrance L. ( Tory)</dc:creator>
  <cp:lastModifiedBy>Rule, Torrance L. ( Tory)</cp:lastModifiedBy>
  <cp:revision>23</cp:revision>
  <cp:lastPrinted>2021-11-23T15:48:00Z</cp:lastPrinted>
  <dcterms:created xsi:type="dcterms:W3CDTF">2021-11-30T14:55:00Z</dcterms:created>
  <dcterms:modified xsi:type="dcterms:W3CDTF">2021-11-30T17:06:00Z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0x010100831A4124919D0E499037C97ADB977328</vt:lpwstr>
  </property>
</Properties>
</file>