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0145A" w14:textId="3BBF585A" w:rsidR="00A616A5" w:rsidRDefault="00A616A5" w:rsidP="00A616A5">
      <w:pPr>
        <w:spacing w:after="0" w:line="240" w:lineRule="auto"/>
        <w:rPr>
          <w:rFonts w:ascii="Arial" w:eastAsia="Times New Roman" w:hAnsi="Arial" w:cs="Arial"/>
          <w:b/>
          <w:bCs/>
          <w:color w:val="000000"/>
          <w:sz w:val="24"/>
          <w:szCs w:val="24"/>
          <w:shd w:val="clear" w:color="auto" w:fill="FFFFFF"/>
        </w:rPr>
      </w:pPr>
      <w:r>
        <w:rPr>
          <w:rFonts w:ascii="Arial" w:eastAsia="Times New Roman" w:hAnsi="Arial" w:cs="Arial"/>
          <w:b/>
          <w:bCs/>
          <w:color w:val="000000"/>
          <w:sz w:val="24"/>
          <w:szCs w:val="24"/>
          <w:shd w:val="clear" w:color="auto" w:fill="FFFFFF"/>
        </w:rPr>
        <w:t>FORENSIC PATHOLOGIST 2</w:t>
      </w:r>
    </w:p>
    <w:p w14:paraId="36AD45B2" w14:textId="30577EB4" w:rsidR="00A616A5" w:rsidRDefault="00A616A5" w:rsidP="00A616A5">
      <w:pPr>
        <w:spacing w:after="0" w:line="240" w:lineRule="auto"/>
        <w:rPr>
          <w:rFonts w:ascii="Arial" w:eastAsia="Times New Roman" w:hAnsi="Arial" w:cs="Arial"/>
          <w:b/>
          <w:bCs/>
          <w:color w:val="000000"/>
          <w:sz w:val="24"/>
          <w:szCs w:val="24"/>
          <w:shd w:val="clear" w:color="auto" w:fill="FFFFFF"/>
        </w:rPr>
      </w:pPr>
    </w:p>
    <w:p w14:paraId="27A48C58" w14:textId="6E9B63BB" w:rsidR="00A616A5" w:rsidRDefault="00A616A5" w:rsidP="00A616A5">
      <w:pPr>
        <w:spacing w:after="0" w:line="240" w:lineRule="auto"/>
        <w:rPr>
          <w:rFonts w:ascii="Arial" w:eastAsia="Times New Roman" w:hAnsi="Arial" w:cs="Arial"/>
          <w:b/>
          <w:bCs/>
          <w:color w:val="000000"/>
          <w:sz w:val="24"/>
          <w:szCs w:val="24"/>
          <w:shd w:val="clear" w:color="auto" w:fill="FFFFFF"/>
        </w:rPr>
      </w:pPr>
      <w:r>
        <w:rPr>
          <w:rFonts w:ascii="Arial" w:eastAsia="Times New Roman" w:hAnsi="Arial" w:cs="Arial"/>
          <w:b/>
          <w:bCs/>
          <w:color w:val="000000"/>
          <w:sz w:val="24"/>
          <w:szCs w:val="24"/>
          <w:shd w:val="clear" w:color="auto" w:fill="FFFFFF"/>
        </w:rPr>
        <w:t>Salary: $195,000 - $2</w:t>
      </w:r>
      <w:r w:rsidR="005A37C4">
        <w:rPr>
          <w:rFonts w:ascii="Arial" w:eastAsia="Times New Roman" w:hAnsi="Arial" w:cs="Arial"/>
          <w:b/>
          <w:bCs/>
          <w:color w:val="000000"/>
          <w:sz w:val="24"/>
          <w:szCs w:val="24"/>
          <w:shd w:val="clear" w:color="auto" w:fill="FFFFFF"/>
        </w:rPr>
        <w:t>2</w:t>
      </w:r>
      <w:r>
        <w:rPr>
          <w:rFonts w:ascii="Arial" w:eastAsia="Times New Roman" w:hAnsi="Arial" w:cs="Arial"/>
          <w:b/>
          <w:bCs/>
          <w:color w:val="000000"/>
          <w:sz w:val="24"/>
          <w:szCs w:val="24"/>
          <w:shd w:val="clear" w:color="auto" w:fill="FFFFFF"/>
        </w:rPr>
        <w:t>5,000</w:t>
      </w:r>
    </w:p>
    <w:p w14:paraId="1719BA43" w14:textId="77777777" w:rsidR="00A616A5" w:rsidRDefault="00A616A5" w:rsidP="00A616A5">
      <w:pPr>
        <w:spacing w:after="0" w:line="240" w:lineRule="auto"/>
        <w:rPr>
          <w:rFonts w:ascii="Arial" w:eastAsia="Times New Roman" w:hAnsi="Arial" w:cs="Arial"/>
          <w:b/>
          <w:bCs/>
          <w:color w:val="000000"/>
          <w:sz w:val="24"/>
          <w:szCs w:val="24"/>
          <w:shd w:val="clear" w:color="auto" w:fill="FFFFFF"/>
        </w:rPr>
      </w:pPr>
    </w:p>
    <w:p w14:paraId="08F0AF35" w14:textId="73797F68" w:rsidR="00A616A5" w:rsidRPr="00A616A5" w:rsidRDefault="00A616A5" w:rsidP="00A616A5">
      <w:pPr>
        <w:spacing w:after="0" w:line="240" w:lineRule="auto"/>
        <w:rPr>
          <w:rFonts w:ascii="Times New Roman" w:eastAsia="Times New Roman" w:hAnsi="Times New Roman" w:cs="Times New Roman"/>
          <w:sz w:val="24"/>
          <w:szCs w:val="24"/>
        </w:rPr>
      </w:pPr>
      <w:r w:rsidRPr="00A616A5">
        <w:rPr>
          <w:rFonts w:ascii="Arial" w:eastAsia="Times New Roman" w:hAnsi="Arial" w:cs="Arial"/>
          <w:b/>
          <w:bCs/>
          <w:color w:val="000000"/>
          <w:sz w:val="24"/>
          <w:szCs w:val="24"/>
          <w:shd w:val="clear" w:color="auto" w:fill="FFFFFF"/>
        </w:rPr>
        <w:t>Department: </w:t>
      </w:r>
      <w:r w:rsidRPr="00A616A5">
        <w:rPr>
          <w:rFonts w:ascii="Arial" w:eastAsia="Times New Roman" w:hAnsi="Arial" w:cs="Arial"/>
          <w:color w:val="000000"/>
          <w:sz w:val="24"/>
          <w:szCs w:val="24"/>
          <w:shd w:val="clear" w:color="auto" w:fill="FFFFFF"/>
        </w:rPr>
        <w:t>Medical Examiner's</w:t>
      </w:r>
    </w:p>
    <w:p w14:paraId="147E457B"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Anticipated Work Schedule: </w:t>
      </w:r>
      <w:r w:rsidRPr="00A616A5">
        <w:rPr>
          <w:rFonts w:ascii="Arial" w:eastAsia="Times New Roman" w:hAnsi="Arial" w:cs="Arial"/>
          <w:color w:val="000000"/>
          <w:sz w:val="24"/>
          <w:szCs w:val="24"/>
        </w:rPr>
        <w:t>Monday through Friday, 8:00 AM - 4:00 PM</w:t>
      </w:r>
    </w:p>
    <w:p w14:paraId="4B3C4AE0"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Reports To: </w:t>
      </w:r>
      <w:r w:rsidRPr="00A616A5">
        <w:rPr>
          <w:rFonts w:ascii="Arial" w:eastAsia="Times New Roman" w:hAnsi="Arial" w:cs="Arial"/>
          <w:color w:val="000000"/>
          <w:sz w:val="24"/>
          <w:szCs w:val="24"/>
        </w:rPr>
        <w:t>Deputy Chief, Medical Examiner</w:t>
      </w:r>
    </w:p>
    <w:p w14:paraId="631144A2"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Full Time or Part Time: </w:t>
      </w:r>
      <w:r w:rsidRPr="00A616A5">
        <w:rPr>
          <w:rFonts w:ascii="Arial" w:eastAsia="Times New Roman" w:hAnsi="Arial" w:cs="Arial"/>
          <w:color w:val="000000"/>
          <w:sz w:val="24"/>
          <w:szCs w:val="24"/>
        </w:rPr>
        <w:t>Full Time</w:t>
      </w:r>
    </w:p>
    <w:p w14:paraId="2882E780"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Regular or Temporary: </w:t>
      </w:r>
      <w:r w:rsidRPr="00A616A5">
        <w:rPr>
          <w:rFonts w:ascii="Arial" w:eastAsia="Times New Roman" w:hAnsi="Arial" w:cs="Arial"/>
          <w:color w:val="000000"/>
          <w:sz w:val="24"/>
          <w:szCs w:val="24"/>
        </w:rPr>
        <w:t>Regular</w:t>
      </w:r>
      <w:bookmarkStart w:id="0" w:name="_GoBack"/>
      <w:bookmarkEnd w:id="0"/>
    </w:p>
    <w:p w14:paraId="40F7DB83"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Bargaining Unit: </w:t>
      </w:r>
      <w:r w:rsidRPr="00A616A5">
        <w:rPr>
          <w:rFonts w:ascii="Arial" w:eastAsia="Times New Roman" w:hAnsi="Arial" w:cs="Arial"/>
          <w:color w:val="000000"/>
          <w:sz w:val="24"/>
          <w:szCs w:val="24"/>
        </w:rPr>
        <w:t>N/A</w:t>
      </w:r>
    </w:p>
    <w:p w14:paraId="7FAD0B66" w14:textId="77777777"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Classified or Unclassified: </w:t>
      </w:r>
      <w:r w:rsidRPr="00A616A5">
        <w:rPr>
          <w:rFonts w:ascii="Arial" w:eastAsia="Times New Roman" w:hAnsi="Arial" w:cs="Arial"/>
          <w:color w:val="000000"/>
          <w:sz w:val="24"/>
          <w:szCs w:val="24"/>
        </w:rPr>
        <w:t>Unclassified</w:t>
      </w:r>
    </w:p>
    <w:p w14:paraId="2C9B4DF4" w14:textId="0855E864" w:rsidR="00A616A5" w:rsidRDefault="00A616A5" w:rsidP="00A616A5">
      <w:pPr>
        <w:shd w:val="clear" w:color="auto" w:fill="FFFFFF"/>
        <w:spacing w:after="0" w:line="240" w:lineRule="auto"/>
        <w:rPr>
          <w:rFonts w:ascii="Arial" w:eastAsia="Times New Roman" w:hAnsi="Arial" w:cs="Arial"/>
          <w:color w:val="000000"/>
          <w:sz w:val="24"/>
          <w:szCs w:val="24"/>
        </w:rPr>
      </w:pPr>
      <w:r w:rsidRPr="00A616A5">
        <w:rPr>
          <w:rFonts w:ascii="Arial" w:eastAsia="Times New Roman" w:hAnsi="Arial" w:cs="Arial"/>
          <w:b/>
          <w:bCs/>
          <w:color w:val="000000"/>
          <w:sz w:val="24"/>
          <w:szCs w:val="24"/>
        </w:rPr>
        <w:t>FLSA</w:t>
      </w:r>
      <w:r w:rsidRPr="00A616A5">
        <w:rPr>
          <w:rFonts w:ascii="Arial" w:eastAsia="Times New Roman" w:hAnsi="Arial" w:cs="Arial"/>
          <w:color w:val="000000"/>
          <w:sz w:val="24"/>
          <w:szCs w:val="24"/>
        </w:rPr>
        <w:t>: Exempt </w:t>
      </w:r>
    </w:p>
    <w:p w14:paraId="62C0FFD2" w14:textId="2123092C" w:rsid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p>
    <w:p w14:paraId="5823B21A" w14:textId="582228C7" w:rsidR="00A616A5" w:rsidRPr="00DB7456" w:rsidRDefault="00A616A5" w:rsidP="00A616A5">
      <w:pPr>
        <w:shd w:val="clear" w:color="auto" w:fill="FFFFFF"/>
        <w:spacing w:after="0" w:line="240" w:lineRule="auto"/>
        <w:rPr>
          <w:rFonts w:ascii="Arial" w:eastAsia="Times New Roman" w:hAnsi="Arial" w:cs="Arial"/>
          <w:color w:val="000000"/>
          <w:sz w:val="24"/>
          <w:szCs w:val="24"/>
        </w:rPr>
      </w:pPr>
      <w:r w:rsidRPr="00A616A5">
        <w:rPr>
          <w:rFonts w:ascii="Source Sans Pro" w:eastAsia="Times New Roman" w:hAnsi="Source Sans Pro" w:cs="Times New Roman"/>
          <w:b/>
          <w:color w:val="FF0000"/>
          <w:sz w:val="24"/>
          <w:szCs w:val="24"/>
        </w:rPr>
        <w:t>TO BE CONSIDERED FOR THIS POSITION, YOU MUST CREATE A PROFILE AND APPLY ON THE CUYAHOGA COUNTY JOB PORTAL AT</w:t>
      </w:r>
      <w:r w:rsidRPr="00A616A5">
        <w:rPr>
          <w:rFonts w:ascii="Source Sans Pro" w:eastAsia="Times New Roman" w:hAnsi="Source Sans Pro" w:cs="Times New Roman"/>
          <w:color w:val="FF0000"/>
          <w:sz w:val="24"/>
          <w:szCs w:val="24"/>
        </w:rPr>
        <w:t xml:space="preserve"> </w:t>
      </w:r>
      <w:hyperlink r:id="rId4" w:history="1">
        <w:r w:rsidRPr="0040164F">
          <w:rPr>
            <w:rStyle w:val="Hyperlink"/>
            <w:rFonts w:ascii="Source Sans Pro" w:eastAsia="Times New Roman" w:hAnsi="Source Sans Pro" w:cs="Times New Roman"/>
            <w:sz w:val="24"/>
            <w:szCs w:val="24"/>
          </w:rPr>
          <w:t>https://www.cuyahogacounty.us/human-resources</w:t>
        </w:r>
      </w:hyperlink>
      <w:r w:rsidR="00DB7456" w:rsidRPr="00DB7456">
        <w:rPr>
          <w:rStyle w:val="Hyperlink"/>
          <w:rFonts w:ascii="Source Sans Pro" w:eastAsia="Times New Roman" w:hAnsi="Source Sans Pro" w:cs="Times New Roman"/>
          <w:sz w:val="24"/>
          <w:szCs w:val="24"/>
          <w:u w:val="none"/>
        </w:rPr>
        <w:t xml:space="preserve"> . </w:t>
      </w:r>
      <w:r w:rsidR="00DB7456" w:rsidRPr="00DB7456">
        <w:rPr>
          <w:rFonts w:ascii="Arial" w:hAnsi="Arial" w:cs="Arial"/>
          <w:color w:val="000000"/>
        </w:rPr>
        <w:t xml:space="preserve">The posting will remain open until filled. </w:t>
      </w:r>
    </w:p>
    <w:p w14:paraId="5D0A53E5" w14:textId="248BFC00" w:rsidR="00A616A5" w:rsidRPr="00A616A5" w:rsidRDefault="00A616A5" w:rsidP="00A616A5">
      <w:pPr>
        <w:shd w:val="clear" w:color="auto" w:fill="FFFFFF"/>
        <w:spacing w:after="0" w:line="240" w:lineRule="auto"/>
        <w:rPr>
          <w:rFonts w:ascii="Source Sans Pro" w:eastAsia="Times New Roman" w:hAnsi="Source Sans Pro" w:cs="Times New Roman"/>
          <w:color w:val="000000"/>
          <w:sz w:val="24"/>
          <w:szCs w:val="24"/>
        </w:rPr>
      </w:pPr>
    </w:p>
    <w:p w14:paraId="70415241"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rPr>
        <w:t>Summary</w:t>
      </w:r>
      <w:r w:rsidRPr="00A616A5">
        <w:rPr>
          <w:rFonts w:ascii="Arial" w:eastAsia="Times New Roman" w:hAnsi="Arial" w:cs="Arial"/>
          <w:color w:val="000000"/>
          <w:sz w:val="24"/>
          <w:szCs w:val="24"/>
        </w:rPr>
        <w:t> </w:t>
      </w:r>
      <w:r w:rsidRPr="00A616A5">
        <w:rPr>
          <w:rFonts w:ascii="Source Sans Pro" w:eastAsia="Times New Roman" w:hAnsi="Source Sans Pro" w:cs="Times New Roman"/>
          <w:color w:val="000000"/>
          <w:sz w:val="24"/>
          <w:szCs w:val="24"/>
        </w:rPr>
        <w:t>Under the authority of </w:t>
      </w:r>
      <w:bookmarkStart w:id="1" w:name="_Hlk18500123"/>
      <w:r w:rsidRPr="00A616A5">
        <w:rPr>
          <w:rFonts w:ascii="Source Sans Pro" w:eastAsia="Times New Roman" w:hAnsi="Source Sans Pro" w:cs="Times New Roman"/>
          <w:color w:val="000000"/>
          <w:bdr w:val="none" w:sz="0" w:space="0" w:color="auto" w:frame="1"/>
        </w:rPr>
        <w:t>Chief Medical Examiner and Deputy Chief Medical Examiner the purpose of this classification is to perform forensic medical evaluation and analysis to determine the cause and manner of death in cases assigned to the Medical Examiner’s Office and to assist with related administrative responsibilities. This is a professional level classification requiring a Medical degree with board certification in Anatomic Pathology and Forensic Pathology. Current medical license to practice medicine in the State of Ohio and perform forensic post-mortem examinations and investigations. Incumbents in this position class work under general direction from the Medical Examiner and receive instruction or assistance as new or unusual situations arise and are expected to remain up-to-date regarding methods, protocols, procedures, and applicable regulations. This position does not supervise employees but may distribute work, review others’ work, and train other employees. This class is distinguished from the Forensic Pathologist 1 in that incumbents have increased administrative responsibility, may function as lead workers, and have Board Certification in Anatomic and Forensic Pathology.</w:t>
      </w:r>
      <w:bookmarkEnd w:id="1"/>
    </w:p>
    <w:p w14:paraId="14FD6E31"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Source Sans Pro" w:eastAsia="Times New Roman" w:hAnsi="Source Sans Pro" w:cs="Times New Roman"/>
          <w:color w:val="000000"/>
          <w:sz w:val="24"/>
          <w:szCs w:val="24"/>
        </w:rPr>
        <w:t> </w:t>
      </w:r>
    </w:p>
    <w:p w14:paraId="59791AE7"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bdr w:val="none" w:sz="0" w:space="0" w:color="auto" w:frame="1"/>
        </w:rPr>
        <w:t>Essential Job Functions </w:t>
      </w:r>
      <w:r w:rsidRPr="00A616A5">
        <w:rPr>
          <w:rFonts w:ascii="Source Sans Pro" w:eastAsia="Times New Roman" w:hAnsi="Source Sans Pro" w:cs="Times New Roman"/>
          <w:color w:val="000000"/>
          <w:sz w:val="24"/>
          <w:szCs w:val="24"/>
        </w:rPr>
        <w:t xml:space="preserve">Conducts forensic post-mortem examinations in order to determine cause and manner of death; reads and interprets laboratory results, medical records, and ancillary investigative reports; collects and examines medical evidence including trace evidence, body tissues, and bodily fluids; orders and interprets diagnostic analyses on samples of bodily fluids, tissues, and other evidence; requests and interprets other ancillary testing as necessary; attends crime scenes to assist with death investigations; determines identity of deceased as required; ensures the preservation of legal, physical, and medical evidence and chain of custody; documents autopsy findings and prepares reports of findings. Oversees student and resident rotations; assists in the education of forensic pathology fellows, students, and medical residents; schedules, prepares, and delivers lectures. Provides expert legal testimony for criminal and civil court proceedings; consults with judicial, law enforcement, and medical personnel regarding autopsy findings and investigations; communicates with family members to discuss results of autopsy and/or </w:t>
      </w:r>
      <w:proofErr w:type="gramStart"/>
      <w:r w:rsidRPr="00A616A5">
        <w:rPr>
          <w:rFonts w:ascii="Source Sans Pro" w:eastAsia="Times New Roman" w:hAnsi="Source Sans Pro" w:cs="Times New Roman"/>
          <w:color w:val="000000"/>
          <w:sz w:val="24"/>
          <w:szCs w:val="24"/>
        </w:rPr>
        <w:t>particulars of</w:t>
      </w:r>
      <w:proofErr w:type="gramEnd"/>
      <w:r w:rsidRPr="00A616A5">
        <w:rPr>
          <w:rFonts w:ascii="Source Sans Pro" w:eastAsia="Times New Roman" w:hAnsi="Source Sans Pro" w:cs="Times New Roman"/>
          <w:color w:val="000000"/>
          <w:sz w:val="24"/>
          <w:szCs w:val="24"/>
        </w:rPr>
        <w:t xml:space="preserve"> the </w:t>
      </w:r>
      <w:r w:rsidRPr="00A616A5">
        <w:rPr>
          <w:rFonts w:ascii="Source Sans Pro" w:eastAsia="Times New Roman" w:hAnsi="Source Sans Pro" w:cs="Times New Roman"/>
          <w:color w:val="000000"/>
          <w:sz w:val="24"/>
          <w:szCs w:val="24"/>
        </w:rPr>
        <w:lastRenderedPageBreak/>
        <w:t>death investigation. Acts as acting medical examiner when Chief ME or Chief Deputy ME is unavailable; acts as a case coordinator for medical and forensic assessment of the Medical Examiner’s cases. Performs related ancillary responsibilities; attends and participates in professional group meetings, conferences, seminars, and trainings; assists with the development of procedures and protocols; </w:t>
      </w:r>
      <w:bookmarkStart w:id="2" w:name="_Hlk18065733"/>
      <w:r w:rsidRPr="00A616A5">
        <w:rPr>
          <w:rFonts w:ascii="Source Sans Pro" w:eastAsia="Times New Roman" w:hAnsi="Source Sans Pro" w:cs="Times New Roman"/>
          <w:color w:val="000000"/>
          <w:bdr w:val="none" w:sz="0" w:space="0" w:color="auto" w:frame="1"/>
        </w:rPr>
        <w:t>keeps up to date on developments, methods, and techniques in forensic pathology; </w:t>
      </w:r>
      <w:bookmarkEnd w:id="2"/>
      <w:r w:rsidRPr="00A616A5">
        <w:rPr>
          <w:rFonts w:ascii="Source Sans Pro" w:eastAsia="Times New Roman" w:hAnsi="Source Sans Pro" w:cs="Times New Roman"/>
          <w:color w:val="000000"/>
          <w:sz w:val="24"/>
          <w:szCs w:val="24"/>
        </w:rPr>
        <w:t>participates in medical education opportunities needed to maintain licensure; assists in the planning and participation of department research activities.</w:t>
      </w:r>
    </w:p>
    <w:p w14:paraId="1609E63D"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Source Sans Pro" w:eastAsia="Times New Roman" w:hAnsi="Source Sans Pro" w:cs="Times New Roman"/>
          <w:color w:val="000000"/>
          <w:sz w:val="24"/>
          <w:szCs w:val="24"/>
        </w:rPr>
        <w:t> </w:t>
      </w:r>
    </w:p>
    <w:p w14:paraId="14D26F3B"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bdr w:val="none" w:sz="0" w:space="0" w:color="auto" w:frame="1"/>
        </w:rPr>
        <w:t>Minimum Requirements</w:t>
      </w:r>
    </w:p>
    <w:p w14:paraId="6801DF55"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Source Sans Pro" w:eastAsia="Times New Roman" w:hAnsi="Source Sans Pro" w:cs="Times New Roman"/>
          <w:color w:val="000000"/>
          <w:sz w:val="24"/>
          <w:szCs w:val="24"/>
        </w:rPr>
        <w:t>Medical Doctor degree with board certification in Anatomic Pathology and Forensic Pathology. Current medical license to practice medicine in the State of Ohio. A current, valid license to practice medicine in the State of Ohio. Must complete FEMA ICS 100, 200, and 700 courses within 6 months of hiring.</w:t>
      </w:r>
    </w:p>
    <w:p w14:paraId="2AE1A2DC"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color w:val="000000"/>
          <w:sz w:val="24"/>
          <w:szCs w:val="24"/>
        </w:rPr>
        <w:t> </w:t>
      </w:r>
    </w:p>
    <w:p w14:paraId="2D31A9BD"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b/>
          <w:bCs/>
          <w:color w:val="000000"/>
          <w:sz w:val="24"/>
          <w:szCs w:val="24"/>
          <w:bdr w:val="none" w:sz="0" w:space="0" w:color="auto" w:frame="1"/>
        </w:rPr>
        <w:t>Application Process</w:t>
      </w:r>
    </w:p>
    <w:p w14:paraId="65498D00" w14:textId="77777777" w:rsidR="00A616A5" w:rsidRPr="00A616A5" w:rsidRDefault="00A616A5" w:rsidP="00A616A5">
      <w:pPr>
        <w:shd w:val="clear" w:color="auto" w:fill="FFFFFF"/>
        <w:spacing w:after="0" w:line="276" w:lineRule="atLeast"/>
        <w:jc w:val="both"/>
        <w:rPr>
          <w:rFonts w:ascii="Calibri" w:eastAsia="Times New Roman" w:hAnsi="Calibri" w:cs="Calibri"/>
          <w:color w:val="000000"/>
          <w:sz w:val="24"/>
          <w:szCs w:val="24"/>
        </w:rPr>
      </w:pPr>
      <w:r w:rsidRPr="00A616A5">
        <w:rPr>
          <w:rFonts w:ascii="Arial" w:eastAsia="Times New Roman" w:hAnsi="Arial" w:cs="Arial"/>
          <w:color w:val="000000"/>
          <w:sz w:val="24"/>
          <w:szCs w:val="24"/>
          <w:bdr w:val="none" w:sz="0" w:space="0" w:color="auto" w:frame="1"/>
        </w:rPr>
        <w:t>This is an unclassified position. Human Resources will check your application to make sure you meet the minimum qualifications. HR helps the hiring department decide who to follow up with for interviews and then a job offer. Most of our communication with candidates is through email. Regularly check the email address you gave us in your job profile. Watch your Spam folder, just in case. If we offer you a job, you must pass a drug screen and background check before the offer becomes final. Prior criminal convictions do not automatically disqualify you from employment; the County looks at criminal convictions on a case-by-case basis using the guidelines in </w:t>
      </w:r>
      <w:hyperlink r:id="rId5" w:history="1">
        <w:r w:rsidRPr="00A616A5">
          <w:rPr>
            <w:rFonts w:ascii="Arial" w:eastAsia="Times New Roman" w:hAnsi="Arial" w:cs="Arial"/>
            <w:color w:val="0000FF"/>
            <w:sz w:val="24"/>
            <w:szCs w:val="24"/>
            <w:u w:val="single"/>
            <w:bdr w:val="none" w:sz="0" w:space="0" w:color="auto" w:frame="1"/>
          </w:rPr>
          <w:t>Chapter 306 of the County Code</w:t>
        </w:r>
      </w:hyperlink>
      <w:r w:rsidRPr="00A616A5">
        <w:rPr>
          <w:rFonts w:ascii="Arial" w:eastAsia="Times New Roman" w:hAnsi="Arial" w:cs="Arial"/>
          <w:color w:val="000000"/>
          <w:sz w:val="24"/>
          <w:szCs w:val="24"/>
          <w:bdr w:val="none" w:sz="0" w:space="0" w:color="auto" w:frame="1"/>
        </w:rPr>
        <w:t>.</w:t>
      </w:r>
    </w:p>
    <w:p w14:paraId="51B334EE" w14:textId="77777777" w:rsidR="00A616A5" w:rsidRPr="00A616A5" w:rsidRDefault="00A616A5" w:rsidP="00A616A5">
      <w:pPr>
        <w:shd w:val="clear" w:color="auto" w:fill="FFFFFF"/>
        <w:spacing w:after="0" w:line="276" w:lineRule="atLeast"/>
        <w:jc w:val="both"/>
        <w:rPr>
          <w:rFonts w:ascii="Calibri" w:eastAsia="Times New Roman" w:hAnsi="Calibri" w:cs="Calibri"/>
          <w:color w:val="000000"/>
          <w:sz w:val="24"/>
          <w:szCs w:val="24"/>
        </w:rPr>
      </w:pPr>
      <w:r w:rsidRPr="00A616A5">
        <w:rPr>
          <w:rFonts w:ascii="Calibri" w:eastAsia="Times New Roman" w:hAnsi="Calibri" w:cs="Calibri"/>
          <w:color w:val="000000"/>
          <w:sz w:val="24"/>
          <w:szCs w:val="24"/>
        </w:rPr>
        <w:t> </w:t>
      </w:r>
    </w:p>
    <w:p w14:paraId="630278EF" w14:textId="77777777" w:rsidR="00A616A5" w:rsidRPr="00A616A5" w:rsidRDefault="00A616A5" w:rsidP="00A616A5">
      <w:pPr>
        <w:shd w:val="clear" w:color="auto" w:fill="FFFFFF"/>
        <w:spacing w:after="0" w:line="276" w:lineRule="atLeast"/>
        <w:jc w:val="both"/>
        <w:rPr>
          <w:rFonts w:ascii="Calibri" w:eastAsia="Times New Roman" w:hAnsi="Calibri" w:cs="Calibri"/>
          <w:color w:val="000000"/>
          <w:sz w:val="24"/>
          <w:szCs w:val="24"/>
        </w:rPr>
      </w:pPr>
      <w:r w:rsidRPr="00A616A5">
        <w:rPr>
          <w:rFonts w:ascii="Arial" w:eastAsia="Times New Roman" w:hAnsi="Arial" w:cs="Arial"/>
          <w:b/>
          <w:bCs/>
          <w:color w:val="000000"/>
          <w:sz w:val="24"/>
          <w:szCs w:val="24"/>
          <w:bdr w:val="none" w:sz="0" w:space="0" w:color="auto" w:frame="1"/>
        </w:rPr>
        <w:t>EQUAL OPPORTUNITY EMPLOYER</w:t>
      </w:r>
    </w:p>
    <w:p w14:paraId="70E646EE" w14:textId="77777777" w:rsidR="00A616A5" w:rsidRPr="00A616A5" w:rsidRDefault="00A616A5" w:rsidP="00A616A5">
      <w:pPr>
        <w:shd w:val="clear" w:color="auto" w:fill="FFFFFF"/>
        <w:spacing w:after="0" w:line="276" w:lineRule="atLeast"/>
        <w:jc w:val="both"/>
        <w:rPr>
          <w:rFonts w:ascii="Calibri" w:eastAsia="Times New Roman" w:hAnsi="Calibri" w:cs="Calibri"/>
          <w:color w:val="000000"/>
          <w:sz w:val="24"/>
          <w:szCs w:val="24"/>
        </w:rPr>
      </w:pPr>
      <w:r w:rsidRPr="00A616A5">
        <w:rPr>
          <w:rFonts w:ascii="Arial" w:eastAsia="Times New Roman" w:hAnsi="Arial" w:cs="Arial"/>
          <w:color w:val="000000"/>
          <w:sz w:val="24"/>
          <w:szCs w:val="24"/>
          <w:bdr w:val="none" w:sz="0" w:space="0" w:color="auto" w:frame="1"/>
        </w:rPr>
        <w:t xml:space="preserve">Cuyahoga County is committed to fostering a diverse and inclusive workforce, which includes building an environment that respects the individual, promotes innovation and offers opportunities for all employees to develop to their full potential. A diverse workforce helps the County realize its full potential. The County benefits from the creativity and innovation that results when people with different experiences, perspectives, and cultural backgrounds work together. The County is committed to providing equal employment opportunities for all individuals regardless of race, color, ancestry, national origin, language, religion, citizenship status, sex, age, marital status, sexual preference or orientation, gender identity/expression, military/veteran status, disability, genetic information, membership in a collective bargaining unit, status </w:t>
      </w:r>
      <w:proofErr w:type="gramStart"/>
      <w:r w:rsidRPr="00A616A5">
        <w:rPr>
          <w:rFonts w:ascii="Arial" w:eastAsia="Times New Roman" w:hAnsi="Arial" w:cs="Arial"/>
          <w:color w:val="000000"/>
          <w:sz w:val="24"/>
          <w:szCs w:val="24"/>
          <w:bdr w:val="none" w:sz="0" w:space="0" w:color="auto" w:frame="1"/>
        </w:rPr>
        <w:t>with regard to</w:t>
      </w:r>
      <w:proofErr w:type="gramEnd"/>
      <w:r w:rsidRPr="00A616A5">
        <w:rPr>
          <w:rFonts w:ascii="Arial" w:eastAsia="Times New Roman" w:hAnsi="Arial" w:cs="Arial"/>
          <w:color w:val="000000"/>
          <w:sz w:val="24"/>
          <w:szCs w:val="24"/>
          <w:bdr w:val="none" w:sz="0" w:space="0" w:color="auto" w:frame="1"/>
        </w:rPr>
        <w:t xml:space="preserve"> public assistance, or political affiliation. If you need assistance applying or participating in any part of the candidate experience, contact Human Resources at 216-443-7190 and ask to speak with a talent acquisition team member.</w:t>
      </w:r>
    </w:p>
    <w:p w14:paraId="4D3C1E0F" w14:textId="77777777" w:rsidR="00A616A5" w:rsidRPr="00A616A5" w:rsidRDefault="00A616A5" w:rsidP="00A616A5">
      <w:pPr>
        <w:shd w:val="clear" w:color="auto" w:fill="FFFFFF"/>
        <w:spacing w:after="0" w:line="240" w:lineRule="auto"/>
        <w:jc w:val="both"/>
        <w:rPr>
          <w:rFonts w:ascii="Source Sans Pro" w:eastAsia="Times New Roman" w:hAnsi="Source Sans Pro" w:cs="Times New Roman"/>
          <w:color w:val="000000"/>
          <w:sz w:val="24"/>
          <w:szCs w:val="24"/>
        </w:rPr>
      </w:pPr>
      <w:r w:rsidRPr="00A616A5">
        <w:rPr>
          <w:rFonts w:ascii="Arial" w:eastAsia="Times New Roman" w:hAnsi="Arial" w:cs="Arial"/>
          <w:color w:val="000000"/>
          <w:sz w:val="24"/>
          <w:szCs w:val="24"/>
        </w:rPr>
        <w:t> </w:t>
      </w:r>
    </w:p>
    <w:p w14:paraId="6E5719C0" w14:textId="77777777" w:rsidR="00E22248" w:rsidRDefault="00E22248" w:rsidP="00A616A5">
      <w:pPr>
        <w:jc w:val="both"/>
      </w:pPr>
    </w:p>
    <w:sectPr w:rsidR="00E22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5"/>
    <w:rsid w:val="005A37C4"/>
    <w:rsid w:val="00A616A5"/>
    <w:rsid w:val="00DB7456"/>
    <w:rsid w:val="00E2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64B4"/>
  <w15:chartTrackingRefBased/>
  <w15:docId w15:val="{377D3546-8A72-4130-A8E8-B8E8053C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16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16A5"/>
    <w:rPr>
      <w:color w:val="0000FF"/>
      <w:u w:val="single"/>
    </w:rPr>
  </w:style>
  <w:style w:type="character" w:styleId="UnresolvedMention">
    <w:name w:val="Unresolved Mention"/>
    <w:basedOn w:val="DefaultParagraphFont"/>
    <w:uiPriority w:val="99"/>
    <w:semiHidden/>
    <w:unhideWhenUsed/>
    <w:rsid w:val="00A61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62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de.cuyahogacounty.us/en-US/CCRC-T3C306.aspx" TargetMode="External"/><Relationship Id="rId4" Type="http://schemas.openxmlformats.org/officeDocument/2006/relationships/hyperlink" Target="https://www.cuyahogacounty.us/huma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874</Words>
  <Characters>4984</Characters>
  <Application>Microsoft Office Word</Application>
  <DocSecurity>0</DocSecurity>
  <Lines>41</Lines>
  <Paragraphs>11</Paragraphs>
  <ScaleCrop>false</ScaleCrop>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Tabetha Nuhfer</dc:creator>
  <cp:keywords/>
  <dc:description/>
  <cp:lastModifiedBy>Tabetha Nuhfer</cp:lastModifiedBy>
  <cp:revision>3</cp:revision>
  <dcterms:created xsi:type="dcterms:W3CDTF">2022-02-28T17:18:00Z</dcterms:created>
  <dcterms:modified xsi:type="dcterms:W3CDTF">2022-03-03T17:44:00Z</dcterms:modified>
</cp:coreProperties>
</file>